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0F" w14:textId="28B8241C" w:rsidR="009227A0" w:rsidRPr="009227A0" w:rsidRDefault="009227A0" w:rsidP="009227A0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 w:rsidRPr="009227A0">
        <w:rPr>
          <w:rStyle w:val="Forte"/>
          <w:b w:val="0"/>
          <w:bCs w:val="0"/>
          <w:sz w:val="24"/>
          <w:szCs w:val="24"/>
        </w:rPr>
        <w:t xml:space="preserve">TOMADA DE PREÇOS N. </w:t>
      </w:r>
      <w:r w:rsidR="00293773">
        <w:rPr>
          <w:rStyle w:val="Forte"/>
          <w:b w:val="0"/>
          <w:bCs w:val="0"/>
          <w:sz w:val="24"/>
          <w:szCs w:val="24"/>
        </w:rPr>
        <w:t>014/2023</w:t>
      </w:r>
    </w:p>
    <w:p w14:paraId="465208AE" w14:textId="56DE9573" w:rsidR="009227A0" w:rsidRPr="009227A0" w:rsidRDefault="009227A0" w:rsidP="009227A0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 w:rsidRPr="009227A0">
        <w:rPr>
          <w:rStyle w:val="Forte"/>
          <w:b w:val="0"/>
          <w:bCs w:val="0"/>
          <w:sz w:val="24"/>
          <w:szCs w:val="24"/>
        </w:rPr>
        <w:t xml:space="preserve">PROCESSO ADM. N. </w:t>
      </w:r>
      <w:r w:rsidR="00293773">
        <w:rPr>
          <w:rStyle w:val="Forte"/>
          <w:b w:val="0"/>
          <w:bCs w:val="0"/>
          <w:sz w:val="24"/>
          <w:szCs w:val="24"/>
        </w:rPr>
        <w:t>5629</w:t>
      </w:r>
      <w:r w:rsidRPr="009227A0">
        <w:rPr>
          <w:rStyle w:val="Forte"/>
          <w:b w:val="0"/>
          <w:bCs w:val="0"/>
          <w:sz w:val="24"/>
          <w:szCs w:val="24"/>
        </w:rPr>
        <w:t>/2023</w:t>
      </w:r>
    </w:p>
    <w:p w14:paraId="65DC30F8" w14:textId="57191F52" w:rsidR="00946B05" w:rsidRDefault="009227A0" w:rsidP="00487D0E">
      <w:pPr>
        <w:spacing w:line="360" w:lineRule="auto"/>
        <w:jc w:val="both"/>
        <w:rPr>
          <w:rFonts w:ascii="Candara" w:hAnsi="Candara"/>
          <w:iCs/>
        </w:rPr>
      </w:pPr>
      <w:r w:rsidRPr="009227A0">
        <w:rPr>
          <w:rStyle w:val="Forte"/>
          <w:b w:val="0"/>
          <w:bCs w:val="0"/>
          <w:sz w:val="24"/>
          <w:szCs w:val="24"/>
        </w:rPr>
        <w:t xml:space="preserve">DO OBJETO: </w:t>
      </w:r>
      <w:bookmarkStart w:id="0" w:name="_Hlk128728314"/>
      <w:r w:rsidR="00293773" w:rsidRPr="00293773">
        <w:rPr>
          <w:rStyle w:val="Forte"/>
          <w:b w:val="0"/>
          <w:bCs w:val="0"/>
          <w:sz w:val="24"/>
          <w:szCs w:val="24"/>
        </w:rPr>
        <w:t>Contratação de empresa para execução de obras de Ampliação da EMEF “Isaura de Carvalho”, localizada na rua Prof. Aristides Gurjão, n° 600, conforme planilha orçamentaria, memorial descritivo, cronograma físico-financeiro, planilha de levantamento de quantidades e projeto executivo, com fornecimento de materiais, equipamentos e mão de obra necessária, em conformidade com os Anexos VII e VIII, onerando recursos próprios</w:t>
      </w:r>
      <w:bookmarkEnd w:id="0"/>
      <w:r w:rsidR="00293773" w:rsidRPr="00293773">
        <w:rPr>
          <w:rStyle w:val="Forte"/>
          <w:b w:val="0"/>
          <w:bCs w:val="0"/>
          <w:sz w:val="24"/>
          <w:szCs w:val="24"/>
        </w:rPr>
        <w:t>.</w:t>
      </w:r>
    </w:p>
    <w:p w14:paraId="3EC45846" w14:textId="77777777" w:rsidR="00293773" w:rsidRPr="00487D0E" w:rsidRDefault="00293773" w:rsidP="00487D0E">
      <w:pPr>
        <w:spacing w:line="360" w:lineRule="auto"/>
        <w:jc w:val="both"/>
        <w:rPr>
          <w:rStyle w:val="Forte"/>
          <w:b w:val="0"/>
          <w:bCs w:val="0"/>
          <w:sz w:val="22"/>
          <w:szCs w:val="22"/>
        </w:rPr>
      </w:pPr>
    </w:p>
    <w:p w14:paraId="7C192FE5" w14:textId="77777777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Secretaria da Fazenda</w:t>
      </w:r>
    </w:p>
    <w:p w14:paraId="6D4F60B8" w14:textId="77777777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Comissão de Licitação</w:t>
      </w:r>
    </w:p>
    <w:p w14:paraId="193E6EDA" w14:textId="32A37CD3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Sr. P</w:t>
      </w:r>
      <w:r w:rsidR="00EC72A8">
        <w:rPr>
          <w:rStyle w:val="Forte"/>
          <w:sz w:val="24"/>
          <w:szCs w:val="24"/>
        </w:rPr>
        <w:t>residente</w:t>
      </w:r>
      <w:r w:rsidRPr="002C4740">
        <w:rPr>
          <w:rStyle w:val="Forte"/>
          <w:sz w:val="24"/>
          <w:szCs w:val="24"/>
        </w:rPr>
        <w:t>,</w:t>
      </w:r>
    </w:p>
    <w:p w14:paraId="1EE59296" w14:textId="77777777" w:rsidR="00E339BC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</w:p>
    <w:p w14:paraId="7F95555A" w14:textId="6093D721" w:rsidR="00E339BC" w:rsidRPr="000115E8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Trata-se </w:t>
      </w:r>
      <w:r w:rsidRPr="000115E8">
        <w:rPr>
          <w:rStyle w:val="Forte"/>
          <w:b w:val="0"/>
          <w:bCs w:val="0"/>
          <w:sz w:val="24"/>
          <w:szCs w:val="24"/>
        </w:rPr>
        <w:t>de análise e parecer jurídico sobre a situação d</w:t>
      </w:r>
      <w:r w:rsidR="00EC72A8" w:rsidRPr="000115E8">
        <w:rPr>
          <w:rStyle w:val="Forte"/>
          <w:b w:val="0"/>
          <w:bCs w:val="0"/>
          <w:sz w:val="24"/>
          <w:szCs w:val="24"/>
        </w:rPr>
        <w:t xml:space="preserve">a Tomada de Preços nº </w:t>
      </w:r>
      <w:r w:rsidR="00293773">
        <w:rPr>
          <w:rStyle w:val="Forte"/>
          <w:b w:val="0"/>
          <w:bCs w:val="0"/>
          <w:sz w:val="24"/>
          <w:szCs w:val="24"/>
        </w:rPr>
        <w:t>14</w:t>
      </w:r>
      <w:r w:rsidR="00EC72A8" w:rsidRPr="000115E8">
        <w:rPr>
          <w:rStyle w:val="Forte"/>
          <w:b w:val="0"/>
          <w:bCs w:val="0"/>
          <w:sz w:val="24"/>
          <w:szCs w:val="24"/>
        </w:rPr>
        <w:t>/2023</w:t>
      </w:r>
      <w:r w:rsidRPr="000115E8">
        <w:rPr>
          <w:rStyle w:val="Forte"/>
          <w:b w:val="0"/>
          <w:bCs w:val="0"/>
          <w:sz w:val="24"/>
          <w:szCs w:val="24"/>
        </w:rPr>
        <w:t xml:space="preserve">, cujo objeto </w:t>
      </w:r>
      <w:bookmarkStart w:id="1" w:name="_Hlk46737496"/>
      <w:r w:rsidRPr="000115E8">
        <w:rPr>
          <w:rStyle w:val="Forte"/>
          <w:b w:val="0"/>
          <w:bCs w:val="0"/>
          <w:sz w:val="24"/>
          <w:szCs w:val="24"/>
        </w:rPr>
        <w:t xml:space="preserve">é a </w:t>
      </w:r>
      <w:r w:rsidR="00293773" w:rsidRPr="00293773">
        <w:rPr>
          <w:rStyle w:val="Forte"/>
          <w:b w:val="0"/>
          <w:bCs w:val="0"/>
          <w:sz w:val="24"/>
          <w:szCs w:val="24"/>
        </w:rPr>
        <w:t>execução de obras de Ampliação da EMEF “Isaura de Carvalho”, localizada na rua Prof. Aristides Gurjão, n° 600, conforme planilha orçamentaria, memorial descritivo, cronograma físico-financeiro, planilha de levantamento de quantidades e projeto executivo, com fornecimento de materiais, equipamentos e mão de obra necessária, em conformidade com os Anexos VII e VIII, onerando recursos próprios</w:t>
      </w:r>
      <w:r w:rsidRPr="00293773">
        <w:rPr>
          <w:rStyle w:val="Forte"/>
          <w:b w:val="0"/>
          <w:bCs w:val="0"/>
          <w:sz w:val="24"/>
          <w:szCs w:val="24"/>
        </w:rPr>
        <w:t>.</w:t>
      </w:r>
      <w:bookmarkEnd w:id="1"/>
    </w:p>
    <w:p w14:paraId="601ACF73" w14:textId="77777777" w:rsidR="00E339BC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</w:p>
    <w:p w14:paraId="186B12B2" w14:textId="68354EBE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 xml:space="preserve">1. DOS FATOS: </w:t>
      </w:r>
    </w:p>
    <w:p w14:paraId="72B4CE00" w14:textId="2F43EAEB" w:rsidR="00293773" w:rsidRDefault="00E339BC" w:rsidP="00293773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Em suma, foi realizada a sessão de licitação na modalidade </w:t>
      </w:r>
      <w:r w:rsidR="00EC72A8">
        <w:rPr>
          <w:rStyle w:val="Forte"/>
          <w:b w:val="0"/>
          <w:bCs w:val="0"/>
          <w:sz w:val="24"/>
          <w:szCs w:val="24"/>
        </w:rPr>
        <w:t>Tomada de Preços</w:t>
      </w:r>
      <w:r w:rsidRPr="002C4740">
        <w:rPr>
          <w:rStyle w:val="Forte"/>
          <w:b w:val="0"/>
          <w:bCs w:val="0"/>
          <w:sz w:val="24"/>
          <w:szCs w:val="24"/>
        </w:rPr>
        <w:t xml:space="preserve"> </w:t>
      </w:r>
      <w:r w:rsidR="00EC72A8">
        <w:rPr>
          <w:rStyle w:val="Forte"/>
          <w:b w:val="0"/>
          <w:bCs w:val="0"/>
          <w:sz w:val="24"/>
          <w:szCs w:val="24"/>
        </w:rPr>
        <w:t xml:space="preserve">nº. </w:t>
      </w:r>
      <w:r w:rsidR="00293773">
        <w:rPr>
          <w:rStyle w:val="Forte"/>
          <w:b w:val="0"/>
          <w:bCs w:val="0"/>
          <w:sz w:val="24"/>
          <w:szCs w:val="24"/>
        </w:rPr>
        <w:t>14</w:t>
      </w:r>
      <w:r w:rsidR="00EC72A8">
        <w:rPr>
          <w:rStyle w:val="Forte"/>
          <w:b w:val="0"/>
          <w:bCs w:val="0"/>
          <w:sz w:val="24"/>
          <w:szCs w:val="24"/>
        </w:rPr>
        <w:t>/2023</w:t>
      </w:r>
      <w:r w:rsidRPr="002C4740">
        <w:rPr>
          <w:rStyle w:val="Forte"/>
          <w:b w:val="0"/>
          <w:bCs w:val="0"/>
          <w:sz w:val="24"/>
          <w:szCs w:val="24"/>
        </w:rPr>
        <w:t xml:space="preserve">, na qual durante a etapa de habilitação </w:t>
      </w:r>
      <w:r w:rsidRPr="00293773">
        <w:rPr>
          <w:rStyle w:val="Forte"/>
          <w:b w:val="0"/>
          <w:bCs w:val="0"/>
          <w:sz w:val="24"/>
          <w:szCs w:val="24"/>
        </w:rPr>
        <w:t xml:space="preserve">dos </w:t>
      </w:r>
      <w:r w:rsidR="00EC72A8" w:rsidRPr="00293773">
        <w:rPr>
          <w:rStyle w:val="Forte"/>
          <w:b w:val="0"/>
          <w:bCs w:val="0"/>
          <w:sz w:val="24"/>
          <w:szCs w:val="24"/>
        </w:rPr>
        <w:t>interessados</w:t>
      </w:r>
      <w:r w:rsidR="000115E8" w:rsidRPr="00293773">
        <w:rPr>
          <w:rStyle w:val="Forte"/>
          <w:b w:val="0"/>
          <w:bCs w:val="0"/>
          <w:sz w:val="24"/>
          <w:szCs w:val="24"/>
        </w:rPr>
        <w:t xml:space="preserve"> e após decisão final pela Comissão</w:t>
      </w:r>
      <w:r w:rsidRPr="00293773">
        <w:rPr>
          <w:rStyle w:val="Forte"/>
          <w:b w:val="0"/>
          <w:bCs w:val="0"/>
          <w:sz w:val="24"/>
          <w:szCs w:val="24"/>
        </w:rPr>
        <w:t xml:space="preserve">, houve </w:t>
      </w:r>
      <w:r w:rsidR="00293773">
        <w:rPr>
          <w:rStyle w:val="Forte"/>
          <w:b w:val="0"/>
          <w:bCs w:val="0"/>
          <w:sz w:val="24"/>
          <w:szCs w:val="24"/>
        </w:rPr>
        <w:t xml:space="preserve">interposição recursal pela licitante </w:t>
      </w:r>
      <w:r w:rsidR="00293773" w:rsidRPr="00293773">
        <w:rPr>
          <w:rStyle w:val="Forte"/>
          <w:b w:val="0"/>
          <w:bCs w:val="0"/>
          <w:sz w:val="24"/>
          <w:szCs w:val="24"/>
        </w:rPr>
        <w:t>J &amp; ALVES ENGENHARIA E CONSTRUCOES LTDA.</w:t>
      </w:r>
      <w:r w:rsidR="00293773">
        <w:rPr>
          <w:rStyle w:val="Forte"/>
          <w:b w:val="0"/>
          <w:bCs w:val="0"/>
          <w:sz w:val="24"/>
          <w:szCs w:val="24"/>
        </w:rPr>
        <w:t>,  qual, resumidamente assim arguiu:</w:t>
      </w:r>
    </w:p>
    <w:p w14:paraId="6F492849" w14:textId="18CD4622" w:rsidR="00293773" w:rsidRDefault="0057124D" w:rsidP="0057124D">
      <w:pPr>
        <w:spacing w:line="360" w:lineRule="auto"/>
        <w:ind w:left="226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- </w:t>
      </w:r>
      <w:proofErr w:type="gramStart"/>
      <w:r>
        <w:rPr>
          <w:rStyle w:val="Forte"/>
          <w:b w:val="0"/>
          <w:bCs w:val="0"/>
          <w:sz w:val="24"/>
          <w:szCs w:val="24"/>
        </w:rPr>
        <w:t>a</w:t>
      </w:r>
      <w:proofErr w:type="gramEnd"/>
      <w:r>
        <w:rPr>
          <w:rStyle w:val="Forte"/>
          <w:b w:val="0"/>
          <w:bCs w:val="0"/>
          <w:sz w:val="24"/>
          <w:szCs w:val="24"/>
        </w:rPr>
        <w:t xml:space="preserve"> proposta apresentada esta em desacordo com o Edital, isso porque: o cronograma não possui somatório mensal e data; o ISS apresentado é de 3% e a alíquota do Município é 2%; foi indicado BDI com desoneração, superior a planilha orçamentária e em desacordo com o item 7.1.7 do Edital; e</w:t>
      </w:r>
    </w:p>
    <w:p w14:paraId="67DABB30" w14:textId="0AFE2B82" w:rsidR="0057124D" w:rsidRDefault="0057124D" w:rsidP="0057124D">
      <w:pPr>
        <w:spacing w:line="360" w:lineRule="auto"/>
        <w:ind w:left="226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lastRenderedPageBreak/>
        <w:t xml:space="preserve">- </w:t>
      </w:r>
      <w:proofErr w:type="gramStart"/>
      <w:r>
        <w:rPr>
          <w:rStyle w:val="Forte"/>
          <w:b w:val="0"/>
          <w:bCs w:val="0"/>
          <w:sz w:val="24"/>
          <w:szCs w:val="24"/>
        </w:rPr>
        <w:t>os</w:t>
      </w:r>
      <w:proofErr w:type="gramEnd"/>
      <w:r>
        <w:rPr>
          <w:rStyle w:val="Forte"/>
          <w:b w:val="0"/>
          <w:bCs w:val="0"/>
          <w:sz w:val="24"/>
          <w:szCs w:val="24"/>
        </w:rPr>
        <w:t xml:space="preserve"> documentos de habilitação entregues são nulos, eis que o balanço patrimonial não esta autenticado pela Junta Comercial.</w:t>
      </w:r>
    </w:p>
    <w:p w14:paraId="3913A40B" w14:textId="41171304" w:rsidR="0057124D" w:rsidRDefault="0057124D" w:rsidP="0057124D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Ato contínuo, o licitante vencedor </w:t>
      </w:r>
      <w:r w:rsidRPr="0057124D">
        <w:rPr>
          <w:rStyle w:val="Forte"/>
          <w:b w:val="0"/>
          <w:bCs w:val="0"/>
          <w:sz w:val="24"/>
          <w:szCs w:val="24"/>
        </w:rPr>
        <w:t>CAIO VINICIUS CECCONI DE AVILA</w:t>
      </w:r>
      <w:r>
        <w:rPr>
          <w:rStyle w:val="Forte"/>
          <w:b w:val="0"/>
          <w:bCs w:val="0"/>
          <w:sz w:val="24"/>
          <w:szCs w:val="24"/>
        </w:rPr>
        <w:t xml:space="preserve"> apresentou contrarrazões, de modo a justificar que:</w:t>
      </w:r>
    </w:p>
    <w:p w14:paraId="3E5A2A9E" w14:textId="73F00827" w:rsidR="0057124D" w:rsidRDefault="0057124D" w:rsidP="0057124D">
      <w:pPr>
        <w:spacing w:line="360" w:lineRule="auto"/>
        <w:ind w:left="226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- </w:t>
      </w:r>
      <w:proofErr w:type="gramStart"/>
      <w:r>
        <w:rPr>
          <w:rStyle w:val="Forte"/>
          <w:b w:val="0"/>
          <w:bCs w:val="0"/>
          <w:sz w:val="24"/>
          <w:szCs w:val="24"/>
        </w:rPr>
        <w:t>sua</w:t>
      </w:r>
      <w:proofErr w:type="gramEnd"/>
      <w:r>
        <w:rPr>
          <w:rStyle w:val="Forte"/>
          <w:b w:val="0"/>
          <w:bCs w:val="0"/>
          <w:sz w:val="24"/>
          <w:szCs w:val="24"/>
        </w:rPr>
        <w:t xml:space="preserve"> proposta comercial permitiu a adequada análise e aceitabilidade pela Administração;</w:t>
      </w:r>
    </w:p>
    <w:p w14:paraId="705985BD" w14:textId="5BB88916" w:rsidR="0057124D" w:rsidRPr="0057124D" w:rsidRDefault="0057124D" w:rsidP="0057124D">
      <w:pPr>
        <w:spacing w:line="360" w:lineRule="auto"/>
        <w:ind w:left="2268"/>
        <w:jc w:val="both"/>
        <w:rPr>
          <w:rStyle w:val="Forte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- </w:t>
      </w:r>
      <w:proofErr w:type="gramStart"/>
      <w:r>
        <w:rPr>
          <w:rStyle w:val="Forte"/>
          <w:b w:val="0"/>
          <w:bCs w:val="0"/>
          <w:sz w:val="24"/>
          <w:szCs w:val="24"/>
        </w:rPr>
        <w:t>o</w:t>
      </w:r>
      <w:proofErr w:type="gramEnd"/>
      <w:r>
        <w:rPr>
          <w:rStyle w:val="Forte"/>
          <w:b w:val="0"/>
          <w:bCs w:val="0"/>
          <w:sz w:val="24"/>
          <w:szCs w:val="24"/>
        </w:rPr>
        <w:t xml:space="preserve"> balanço patrimonial entregue é plenamente válido e eficaz, tendo sido apresentado em total conformidade com a legislação vigente</w:t>
      </w:r>
    </w:p>
    <w:p w14:paraId="3DF12E3E" w14:textId="77777777" w:rsidR="00E339BC" w:rsidRPr="00B14AC7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B14AC7">
        <w:rPr>
          <w:rStyle w:val="Forte"/>
          <w:b w:val="0"/>
          <w:bCs w:val="0"/>
          <w:sz w:val="24"/>
          <w:szCs w:val="24"/>
        </w:rPr>
        <w:t>É o relatório.</w:t>
      </w:r>
    </w:p>
    <w:p w14:paraId="6887DFC1" w14:textId="77777777" w:rsidR="00E339BC" w:rsidRPr="00EB3CA1" w:rsidRDefault="00E339BC" w:rsidP="00E339BC">
      <w:pPr>
        <w:spacing w:line="360" w:lineRule="auto"/>
        <w:jc w:val="both"/>
        <w:rPr>
          <w:rStyle w:val="Forte"/>
          <w:sz w:val="22"/>
          <w:szCs w:val="22"/>
        </w:rPr>
      </w:pPr>
    </w:p>
    <w:p w14:paraId="3F9FEA25" w14:textId="77777777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3. DO MÉRITO:</w:t>
      </w:r>
    </w:p>
    <w:p w14:paraId="74E67105" w14:textId="0E61DE20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3.1 DO CERTAME</w:t>
      </w:r>
      <w:r w:rsidR="00F70A19">
        <w:rPr>
          <w:rStyle w:val="Forte"/>
          <w:sz w:val="24"/>
          <w:szCs w:val="24"/>
        </w:rPr>
        <w:t xml:space="preserve"> REALIZADO:</w:t>
      </w:r>
    </w:p>
    <w:p w14:paraId="478AB604" w14:textId="77777777" w:rsidR="00E339BC" w:rsidRPr="002C4740" w:rsidRDefault="00E339BC" w:rsidP="00E339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2C4740">
        <w:rPr>
          <w:rFonts w:ascii="Times New Roman" w:hAnsi="Times New Roman" w:cs="Times New Roman"/>
          <w:color w:val="auto"/>
        </w:rPr>
        <w:t>Durante a condução do certame, a Administração deve fundamentar seus atos de forma vinculada ao Edital e sob a ótica da legalidade, sendo certo que não pode o órgão administrativo se afastar de um julgamento objetivo do certame, sob pena de nulidade do ato e consequente penalização a todos os agentes envolvidos.</w:t>
      </w:r>
    </w:p>
    <w:p w14:paraId="2F759231" w14:textId="77777777" w:rsidR="00E339BC" w:rsidRPr="002C4740" w:rsidRDefault="00E339BC" w:rsidP="00E339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2C4740">
        <w:rPr>
          <w:rFonts w:ascii="Times New Roman" w:hAnsi="Times New Roman" w:cs="Times New Roman"/>
          <w:color w:val="auto"/>
        </w:rPr>
        <w:t>Corroborando com tal entendimento, a lei nº. 8.666/93 (lei geral de licitações) estabelece a necessidade de observância desses princípios (vinculação ao instrumento convocatório, assim como legalidade e isonomia), nos seguintes termos:</w:t>
      </w:r>
    </w:p>
    <w:p w14:paraId="4C763A5E" w14:textId="77777777" w:rsidR="00E339BC" w:rsidRPr="002C4740" w:rsidRDefault="00E339BC" w:rsidP="00E339BC">
      <w:pPr>
        <w:ind w:left="2268"/>
        <w:jc w:val="both"/>
      </w:pPr>
      <w:r w:rsidRPr="002C4740">
        <w:t xml:space="preserve">Art. 3º </w:t>
      </w:r>
      <w:r w:rsidRPr="002C4740">
        <w:rPr>
          <w:b/>
          <w:bCs/>
        </w:rPr>
        <w:t xml:space="preserve">A LICITAÇÃO DESTINA-SE A GARANTIR </w:t>
      </w:r>
      <w:r w:rsidRPr="002C4740">
        <w:t xml:space="preserve">a observância do princípio constitucional da </w:t>
      </w:r>
      <w:r w:rsidRPr="002C4740">
        <w:rPr>
          <w:b/>
          <w:bCs/>
        </w:rPr>
        <w:t>ISONOMIA</w:t>
      </w:r>
      <w:r w:rsidRPr="002C4740">
        <w:t xml:space="preserve">, a seleção da proposta mais vantajosa para a administração e a promoção do desenvolvimento nacional sustentável e será processada e julgada em estrita conformidade com os princípios básicos </w:t>
      </w:r>
      <w:r w:rsidRPr="002C4740">
        <w:rPr>
          <w:b/>
          <w:bCs/>
        </w:rPr>
        <w:t>DA LEGALIDADE</w:t>
      </w:r>
      <w:r w:rsidRPr="002C4740">
        <w:t xml:space="preserve">, da impessoalidade, da moralidade, da igualdade, da publicidade, da probidade administrativa, </w:t>
      </w:r>
      <w:r w:rsidRPr="002C4740">
        <w:rPr>
          <w:b/>
          <w:bCs/>
        </w:rPr>
        <w:t>DA VINCULAÇÃO AO INSTRUMENTO CONVOCATÓRIO, DO JULGAMENTO OBJETIVO</w:t>
      </w:r>
      <w:r w:rsidRPr="002C4740">
        <w:t xml:space="preserve"> e dos que lhes são correlatos. (destaquei)</w:t>
      </w:r>
    </w:p>
    <w:p w14:paraId="6EA9F672" w14:textId="77777777" w:rsidR="00E339BC" w:rsidRDefault="00E339BC" w:rsidP="00E339BC">
      <w:pPr>
        <w:spacing w:line="360" w:lineRule="auto"/>
        <w:ind w:firstLine="708"/>
        <w:jc w:val="both"/>
        <w:rPr>
          <w:sz w:val="24"/>
          <w:szCs w:val="24"/>
        </w:rPr>
      </w:pPr>
    </w:p>
    <w:p w14:paraId="09606C80" w14:textId="77777777" w:rsidR="00E339BC" w:rsidRPr="002C4740" w:rsidRDefault="00E339BC" w:rsidP="00E339BC">
      <w:pPr>
        <w:spacing w:line="360" w:lineRule="auto"/>
        <w:ind w:firstLine="708"/>
        <w:jc w:val="both"/>
        <w:rPr>
          <w:sz w:val="24"/>
          <w:szCs w:val="24"/>
        </w:rPr>
      </w:pPr>
      <w:r w:rsidRPr="002C4740">
        <w:rPr>
          <w:sz w:val="24"/>
          <w:szCs w:val="24"/>
        </w:rPr>
        <w:t>Demais disso, a referida lei nº. 8.666/93 ressalta e estabelece que a Administração tem sua conduta estritamente vinculada as normas e condições do Edital, nos termos do art. 41, à saber:</w:t>
      </w:r>
    </w:p>
    <w:p w14:paraId="532F325B" w14:textId="77777777" w:rsidR="00E339BC" w:rsidRPr="002C4740" w:rsidRDefault="00E339BC" w:rsidP="00E339BC">
      <w:pPr>
        <w:ind w:left="2268"/>
        <w:jc w:val="both"/>
      </w:pPr>
      <w:r w:rsidRPr="002C4740">
        <w:rPr>
          <w:b/>
          <w:bCs/>
        </w:rPr>
        <w:t>Art. 41</w:t>
      </w:r>
      <w:r w:rsidRPr="002C4740">
        <w:t>.  </w:t>
      </w:r>
      <w:r w:rsidRPr="002C4740">
        <w:rPr>
          <w:b/>
          <w:bCs/>
        </w:rPr>
        <w:t>A ADMINISTRAÇÃO NÃO PODE DESCUMPRIR AS NORMAS E CONDIÇÕES DO EDITAL, AO QUAL SE ACHA ESTRITAMENTE VINCULADA</w:t>
      </w:r>
      <w:r w:rsidRPr="002C4740">
        <w:t>. (destaquei)</w:t>
      </w:r>
    </w:p>
    <w:p w14:paraId="54ABAE51" w14:textId="77777777" w:rsidR="00E339BC" w:rsidRDefault="00E339BC" w:rsidP="00E339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94B2A6C" w14:textId="77777777" w:rsidR="00E339BC" w:rsidRPr="002C4740" w:rsidRDefault="00E339BC" w:rsidP="00E339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2C4740">
        <w:rPr>
          <w:rFonts w:ascii="Times New Roman" w:hAnsi="Times New Roman" w:cs="Times New Roman"/>
          <w:color w:val="auto"/>
        </w:rPr>
        <w:lastRenderedPageBreak/>
        <w:t xml:space="preserve">Assim, da leitura dos artigos acima, conclui-se facilmente que a Administração Pública, sob pena de ilegalidade do ato e quebra da isonomia, </w:t>
      </w:r>
      <w:r w:rsidRPr="002C4740">
        <w:rPr>
          <w:rFonts w:ascii="Times New Roman" w:hAnsi="Times New Roman" w:cs="Times New Roman"/>
          <w:b/>
          <w:bCs/>
          <w:color w:val="auto"/>
        </w:rPr>
        <w:t>NÃO PODE SE AFASTAR DO JULGAMENTO OBJETIVO DO CERTAME OU VINCULAÇÃO AO EDITAL</w:t>
      </w:r>
      <w:r w:rsidRPr="002C4740">
        <w:rPr>
          <w:rFonts w:ascii="Times New Roman" w:hAnsi="Times New Roman" w:cs="Times New Roman"/>
          <w:color w:val="auto"/>
        </w:rPr>
        <w:t>.</w:t>
      </w:r>
    </w:p>
    <w:p w14:paraId="33A758A3" w14:textId="77777777" w:rsidR="00E339BC" w:rsidRPr="002C4740" w:rsidRDefault="00E339BC" w:rsidP="00E339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C4740">
        <w:rPr>
          <w:rFonts w:ascii="Times New Roman" w:hAnsi="Times New Roman" w:cs="Times New Roman"/>
        </w:rPr>
        <w:t xml:space="preserve">Corroborando com tal entendimento, o Ilustre Doutrinador Matheus Carvalho, em sua obra “Manual de Direito Administrativo”, Ed. </w:t>
      </w:r>
      <w:proofErr w:type="spellStart"/>
      <w:r w:rsidRPr="002C4740">
        <w:rPr>
          <w:rFonts w:ascii="Times New Roman" w:hAnsi="Times New Roman" w:cs="Times New Roman"/>
          <w:i/>
          <w:iCs/>
        </w:rPr>
        <w:t>Jus</w:t>
      </w:r>
      <w:r w:rsidRPr="002C4740">
        <w:rPr>
          <w:rFonts w:ascii="Times New Roman" w:hAnsi="Times New Roman" w:cs="Times New Roman"/>
        </w:rPr>
        <w:t>Podivm</w:t>
      </w:r>
      <w:proofErr w:type="spellEnd"/>
      <w:r w:rsidRPr="002C4740">
        <w:rPr>
          <w:rFonts w:ascii="Times New Roman" w:hAnsi="Times New Roman" w:cs="Times New Roman"/>
        </w:rPr>
        <w:t xml:space="preserve">, 9ª Edição, ano 2021, assim nos esclarece: </w:t>
      </w:r>
    </w:p>
    <w:p w14:paraId="3600322B" w14:textId="77777777" w:rsidR="00E339BC" w:rsidRPr="00B14AC7" w:rsidRDefault="00E339BC" w:rsidP="00E339BC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14AC7">
        <w:rPr>
          <w:rFonts w:ascii="Times New Roman" w:hAnsi="Times New Roman" w:cs="Times New Roman"/>
          <w:sz w:val="20"/>
          <w:szCs w:val="20"/>
        </w:rPr>
        <w:t xml:space="preserve">“A elaboração do edital pela Administração pública é livre e discricionária, na busca por satisfazer os interesses da coletividade; todavia, </w:t>
      </w:r>
      <w:r w:rsidRPr="00B14AC7">
        <w:rPr>
          <w:rFonts w:ascii="Times New Roman" w:hAnsi="Times New Roman" w:cs="Times New Roman"/>
          <w:b/>
          <w:bCs/>
          <w:sz w:val="20"/>
          <w:szCs w:val="20"/>
        </w:rPr>
        <w:t>APÓS A SUA PUBLICAÇÃO, A ADMINISTRAÇÃO FICA VINCULADA ÀQUILO QUE FOI PUBLICADO</w:t>
      </w:r>
      <w:r w:rsidRPr="00B14AC7">
        <w:rPr>
          <w:rFonts w:ascii="Times New Roman" w:hAnsi="Times New Roman" w:cs="Times New Roman"/>
          <w:sz w:val="20"/>
          <w:szCs w:val="20"/>
        </w:rPr>
        <w:t xml:space="preserve">. Com efeito, a discricionariedade administrativa se encerra com a elaboração do edital e, </w:t>
      </w:r>
      <w:r w:rsidRPr="00B14AC7">
        <w:rPr>
          <w:rFonts w:ascii="Times New Roman" w:hAnsi="Times New Roman" w:cs="Times New Roman"/>
          <w:b/>
          <w:bCs/>
          <w:sz w:val="20"/>
          <w:szCs w:val="20"/>
        </w:rPr>
        <w:t>UMA VEZ PUBLICADO, SEU CUMPRIMENTO É IMPERATIVO</w:t>
      </w:r>
      <w:r w:rsidRPr="00B14AC7">
        <w:rPr>
          <w:rFonts w:ascii="Times New Roman" w:hAnsi="Times New Roman" w:cs="Times New Roman"/>
          <w:sz w:val="20"/>
          <w:szCs w:val="20"/>
        </w:rPr>
        <w:t>”. (destaquei)</w:t>
      </w:r>
    </w:p>
    <w:p w14:paraId="24B63FAD" w14:textId="1265B900" w:rsidR="00E339BC" w:rsidRPr="002C4740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>De toda sorte</w:t>
      </w:r>
      <w:r w:rsidRPr="002C4740">
        <w:rPr>
          <w:rStyle w:val="Forte"/>
          <w:b w:val="0"/>
          <w:bCs w:val="0"/>
          <w:sz w:val="24"/>
          <w:szCs w:val="24"/>
        </w:rPr>
        <w:t xml:space="preserve">, </w:t>
      </w:r>
      <w:r>
        <w:rPr>
          <w:rStyle w:val="Forte"/>
          <w:b w:val="0"/>
          <w:bCs w:val="0"/>
          <w:sz w:val="24"/>
          <w:szCs w:val="24"/>
        </w:rPr>
        <w:t>vejam que É</w:t>
      </w:r>
      <w:r w:rsidRPr="002C4740">
        <w:rPr>
          <w:rStyle w:val="Forte"/>
          <w:b w:val="0"/>
          <w:bCs w:val="0"/>
          <w:sz w:val="24"/>
          <w:szCs w:val="24"/>
        </w:rPr>
        <w:t xml:space="preserve"> ILEGAL QUE A ADMINISTRAÇÃO CONDUZA SEUS ATOS COM EXCESSO DE FORMALISMO, </w:t>
      </w:r>
      <w:r>
        <w:rPr>
          <w:rStyle w:val="Forte"/>
          <w:b w:val="0"/>
          <w:bCs w:val="0"/>
          <w:sz w:val="24"/>
          <w:szCs w:val="24"/>
        </w:rPr>
        <w:t>sendo</w:t>
      </w:r>
      <w:r w:rsidRPr="002C4740">
        <w:rPr>
          <w:rStyle w:val="Forte"/>
          <w:b w:val="0"/>
          <w:bCs w:val="0"/>
          <w:sz w:val="24"/>
          <w:szCs w:val="24"/>
        </w:rPr>
        <w:t xml:space="preserve"> dever da Administração adotar como critério de avaliação o </w:t>
      </w:r>
      <w:r w:rsidRPr="002C4740">
        <w:rPr>
          <w:rStyle w:val="Forte"/>
          <w:sz w:val="24"/>
          <w:szCs w:val="24"/>
        </w:rPr>
        <w:t>formalismo moderado</w:t>
      </w:r>
      <w:r w:rsidRPr="002C4740">
        <w:rPr>
          <w:rStyle w:val="Forte"/>
          <w:b w:val="0"/>
          <w:bCs w:val="0"/>
          <w:sz w:val="24"/>
          <w:szCs w:val="24"/>
        </w:rPr>
        <w:t>, o qual se relaciona com a ponderação entre o princípio da eficiência e o da segurança jurídica, ostentando importante função no cumprimento dos objetivos descritos no art. 3º da Lei de Licitações: busca da proposta mais vantajosa para a Administração, garantia da isonomia e promoção do desenvolvimento nacional sustentável.</w:t>
      </w:r>
    </w:p>
    <w:p w14:paraId="7EB583FF" w14:textId="77777777" w:rsidR="00E339BC" w:rsidRPr="002C4740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Nesse sentido, orienta o </w:t>
      </w:r>
      <w:r w:rsidRPr="002C4740">
        <w:rPr>
          <w:rStyle w:val="Forte"/>
          <w:sz w:val="24"/>
          <w:szCs w:val="24"/>
        </w:rPr>
        <w:t>TRIBUNAL DE CONTAS DA UNIÃO</w:t>
      </w:r>
      <w:r w:rsidRPr="002C4740">
        <w:rPr>
          <w:rStyle w:val="Forte"/>
          <w:b w:val="0"/>
          <w:bCs w:val="0"/>
          <w:sz w:val="24"/>
          <w:szCs w:val="24"/>
        </w:rPr>
        <w:t>, no Acórdão 357/2015 - Plenário:</w:t>
      </w:r>
    </w:p>
    <w:p w14:paraId="1495B7AA" w14:textId="77777777" w:rsidR="00E339BC" w:rsidRPr="00B14AC7" w:rsidRDefault="00E339BC" w:rsidP="00E339BC">
      <w:pPr>
        <w:ind w:left="2832"/>
        <w:jc w:val="both"/>
        <w:rPr>
          <w:rStyle w:val="Forte"/>
          <w:b w:val="0"/>
          <w:bCs w:val="0"/>
          <w:i/>
          <w:iCs/>
        </w:rPr>
      </w:pPr>
      <w:r w:rsidRPr="00B14AC7">
        <w:rPr>
          <w:rStyle w:val="Forte"/>
          <w:b w:val="0"/>
          <w:bCs w:val="0"/>
          <w:i/>
          <w:iCs/>
        </w:rPr>
        <w:t>“No curso de procedimentos licitatórios, a Administração Pública deve pautar-se pelo princípio do formalismo moderado, que prescreve a adoção de formas simples e suficientes para propiciar adequado grau de certeza, segurança e respeito aos direitos dos administrados, promovendo, assim, a prevalência do conteúdo sobre o formalismo extremo, respeitadas, ainda, as praxes essenciais à proteção das prerrogativas dos administrados”.</w:t>
      </w:r>
    </w:p>
    <w:p w14:paraId="5D6C55EA" w14:textId="31E8E756" w:rsidR="00E339BC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sz w:val="24"/>
          <w:szCs w:val="24"/>
          <w:u w:val="single"/>
        </w:rPr>
        <w:t>Nota-se que sua utilização (formalismo moderado) NÃO significa desmerecimento ao princípio da vinculação ao instrumento convocatório ou negativa de vigência do </w:t>
      </w:r>
      <w:r w:rsidRPr="002C4740">
        <w:rPr>
          <w:rStyle w:val="Forte"/>
          <w:i/>
          <w:iCs/>
          <w:sz w:val="24"/>
          <w:szCs w:val="24"/>
          <w:u w:val="single"/>
        </w:rPr>
        <w:t>caput</w:t>
      </w:r>
      <w:r w:rsidRPr="002C4740">
        <w:rPr>
          <w:rStyle w:val="Forte"/>
          <w:sz w:val="24"/>
          <w:szCs w:val="24"/>
          <w:u w:val="single"/>
        </w:rPr>
        <w:t> do art. 41 da lei 8.666/93 que dispõe sobre a impossibilidade de a Administração descumprir as normas e condições do edital. Trata-se de solução a ser tomada pelo intérprete a partir de um conflito de princípios</w:t>
      </w:r>
      <w:r>
        <w:rPr>
          <w:rStyle w:val="Forte"/>
          <w:sz w:val="24"/>
          <w:szCs w:val="24"/>
          <w:u w:val="single"/>
        </w:rPr>
        <w:t>. DE TODO MODO, AO NOSSO VER NÃO SE TRATA DE TAL CONFLITO</w:t>
      </w:r>
      <w:r w:rsidR="0057124D">
        <w:rPr>
          <w:rStyle w:val="Forte"/>
          <w:b w:val="0"/>
          <w:bCs w:val="0"/>
          <w:sz w:val="24"/>
          <w:szCs w:val="24"/>
        </w:rPr>
        <w:t>, os quais passaremos a expor:</w:t>
      </w:r>
    </w:p>
    <w:p w14:paraId="7AE8E5EB" w14:textId="77777777" w:rsidR="0057124D" w:rsidRDefault="0057124D" w:rsidP="0057124D">
      <w:pPr>
        <w:spacing w:line="360" w:lineRule="auto"/>
        <w:jc w:val="both"/>
        <w:rPr>
          <w:rStyle w:val="Forte"/>
          <w:sz w:val="24"/>
          <w:szCs w:val="24"/>
          <w:u w:val="single"/>
        </w:rPr>
      </w:pPr>
    </w:p>
    <w:p w14:paraId="4075A416" w14:textId="3F2CF7EF" w:rsidR="0057124D" w:rsidRPr="0057124D" w:rsidRDefault="0057124D" w:rsidP="0057124D">
      <w:pPr>
        <w:spacing w:line="360" w:lineRule="auto"/>
        <w:jc w:val="both"/>
        <w:rPr>
          <w:rStyle w:val="Forte"/>
          <w:sz w:val="24"/>
          <w:szCs w:val="24"/>
        </w:rPr>
      </w:pPr>
      <w:r w:rsidRPr="0057124D">
        <w:rPr>
          <w:rStyle w:val="Forte"/>
          <w:sz w:val="24"/>
          <w:szCs w:val="24"/>
        </w:rPr>
        <w:t>3.2 DO BALANÇO PATRIMONIAL ENTREGUE</w:t>
      </w:r>
      <w:r>
        <w:rPr>
          <w:rStyle w:val="Forte"/>
          <w:sz w:val="24"/>
          <w:szCs w:val="24"/>
        </w:rPr>
        <w:t>:</w:t>
      </w:r>
    </w:p>
    <w:p w14:paraId="1A91DC9E" w14:textId="274D8A26" w:rsidR="00B94638" w:rsidRDefault="009227A0" w:rsidP="00E339BC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ab/>
        <w:t xml:space="preserve">Sobre </w:t>
      </w:r>
      <w:r w:rsidR="0057124D">
        <w:rPr>
          <w:rStyle w:val="Forte"/>
          <w:b w:val="0"/>
          <w:bCs w:val="0"/>
          <w:sz w:val="24"/>
          <w:szCs w:val="24"/>
        </w:rPr>
        <w:t>o balanço patrimonial entregue pelo vencedor</w:t>
      </w:r>
      <w:r w:rsidR="00B94638">
        <w:rPr>
          <w:rStyle w:val="Forte"/>
          <w:b w:val="0"/>
          <w:bCs w:val="0"/>
          <w:sz w:val="24"/>
          <w:szCs w:val="24"/>
        </w:rPr>
        <w:t xml:space="preserve">, </w:t>
      </w:r>
      <w:r w:rsidR="0057124D">
        <w:rPr>
          <w:rStyle w:val="Forte"/>
          <w:b w:val="0"/>
          <w:bCs w:val="0"/>
          <w:sz w:val="24"/>
          <w:szCs w:val="24"/>
        </w:rPr>
        <w:t xml:space="preserve">cabe esclarecer </w:t>
      </w:r>
      <w:r w:rsidR="00B94638">
        <w:rPr>
          <w:rStyle w:val="Forte"/>
          <w:b w:val="0"/>
          <w:bCs w:val="0"/>
          <w:sz w:val="24"/>
          <w:szCs w:val="24"/>
        </w:rPr>
        <w:t xml:space="preserve">que a </w:t>
      </w:r>
      <w:r w:rsidRPr="00B94638">
        <w:rPr>
          <w:rStyle w:val="Forte"/>
          <w:b w:val="0"/>
          <w:bCs w:val="0"/>
          <w:sz w:val="24"/>
          <w:szCs w:val="24"/>
        </w:rPr>
        <w:t>autenticação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 xml:space="preserve">perante a Junta Comercial </w:t>
      </w:r>
      <w:r w:rsidR="0057124D">
        <w:rPr>
          <w:rStyle w:val="Forte"/>
          <w:b w:val="0"/>
          <w:bCs w:val="0"/>
          <w:sz w:val="24"/>
          <w:szCs w:val="24"/>
        </w:rPr>
        <w:t xml:space="preserve">possui respaldo </w:t>
      </w:r>
      <w:r w:rsidR="005C26B5">
        <w:rPr>
          <w:rStyle w:val="Forte"/>
          <w:b w:val="0"/>
          <w:bCs w:val="0"/>
          <w:sz w:val="24"/>
          <w:szCs w:val="24"/>
        </w:rPr>
        <w:t>nos termos da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 xml:space="preserve">Instrução Normativa DREI nº 11de 05.12.2013, que substituiu a IN MDICE/SCS/DNRC Nº102, </w:t>
      </w:r>
      <w:r w:rsidR="005C26B5" w:rsidRPr="00B94638">
        <w:rPr>
          <w:rStyle w:val="Forte"/>
          <w:b w:val="0"/>
          <w:bCs w:val="0"/>
          <w:sz w:val="24"/>
          <w:szCs w:val="24"/>
        </w:rPr>
        <w:t xml:space="preserve">de 25 de abril de </w:t>
      </w:r>
      <w:r w:rsidRPr="00B94638">
        <w:rPr>
          <w:rStyle w:val="Forte"/>
          <w:b w:val="0"/>
          <w:bCs w:val="0"/>
          <w:sz w:val="24"/>
          <w:szCs w:val="24"/>
        </w:rPr>
        <w:t xml:space="preserve">2006, em seu artigo </w:t>
      </w:r>
      <w:r w:rsidRPr="00B94638">
        <w:rPr>
          <w:rStyle w:val="Forte"/>
          <w:b w:val="0"/>
          <w:bCs w:val="0"/>
          <w:sz w:val="24"/>
          <w:szCs w:val="24"/>
        </w:rPr>
        <w:lastRenderedPageBreak/>
        <w:t xml:space="preserve">36 </w:t>
      </w:r>
      <w:r w:rsidRPr="00B94638">
        <w:rPr>
          <w:rStyle w:val="Forte"/>
          <w:sz w:val="24"/>
          <w:szCs w:val="24"/>
          <w:u w:val="single"/>
        </w:rPr>
        <w:t>confere a</w:t>
      </w:r>
      <w:r w:rsidR="00B94638" w:rsidRPr="00B94638">
        <w:rPr>
          <w:rStyle w:val="Forte"/>
          <w:sz w:val="24"/>
          <w:szCs w:val="24"/>
          <w:u w:val="single"/>
        </w:rPr>
        <w:t xml:space="preserve"> </w:t>
      </w:r>
      <w:r w:rsidRPr="00B94638">
        <w:rPr>
          <w:rStyle w:val="Forte"/>
          <w:sz w:val="24"/>
          <w:szCs w:val="24"/>
          <w:u w:val="single"/>
        </w:rPr>
        <w:t>possibilidade de as Junta Comerciais delegar competência</w:t>
      </w:r>
      <w:r w:rsidR="00B94638" w:rsidRPr="00B94638">
        <w:rPr>
          <w:rStyle w:val="Forte"/>
          <w:sz w:val="24"/>
          <w:szCs w:val="24"/>
          <w:u w:val="single"/>
        </w:rPr>
        <w:t xml:space="preserve"> </w:t>
      </w:r>
      <w:r w:rsidRPr="00B94638">
        <w:rPr>
          <w:rStyle w:val="Forte"/>
          <w:sz w:val="24"/>
          <w:szCs w:val="24"/>
          <w:u w:val="single"/>
        </w:rPr>
        <w:t>para outra autoridade pública autenticar instrumentos de</w:t>
      </w:r>
      <w:r w:rsidR="00B94638">
        <w:rPr>
          <w:rStyle w:val="Forte"/>
          <w:sz w:val="24"/>
          <w:szCs w:val="24"/>
          <w:u w:val="single"/>
        </w:rPr>
        <w:t xml:space="preserve"> </w:t>
      </w:r>
      <w:r w:rsidRPr="00B94638">
        <w:rPr>
          <w:rStyle w:val="Forte"/>
          <w:sz w:val="24"/>
          <w:szCs w:val="24"/>
          <w:u w:val="single"/>
        </w:rPr>
        <w:t>escrituração dos empresários</w:t>
      </w:r>
      <w:r w:rsidRPr="00B94638">
        <w:rPr>
          <w:rStyle w:val="Forte"/>
          <w:b w:val="0"/>
          <w:bCs w:val="0"/>
          <w:sz w:val="24"/>
          <w:szCs w:val="24"/>
        </w:rPr>
        <w:t>.</w:t>
      </w:r>
    </w:p>
    <w:p w14:paraId="0E26B895" w14:textId="77777777" w:rsidR="00B94638" w:rsidRDefault="009227A0" w:rsidP="00B94638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B94638">
        <w:rPr>
          <w:rStyle w:val="Forte"/>
          <w:b w:val="0"/>
          <w:bCs w:val="0"/>
          <w:sz w:val="24"/>
          <w:szCs w:val="24"/>
        </w:rPr>
        <w:t>Neste sentido é o que diz a norma:</w:t>
      </w:r>
    </w:p>
    <w:p w14:paraId="608191B7" w14:textId="77777777" w:rsidR="00B94638" w:rsidRPr="00B94638" w:rsidRDefault="009227A0" w:rsidP="00B94638">
      <w:pPr>
        <w:ind w:left="2832"/>
        <w:jc w:val="both"/>
        <w:rPr>
          <w:rStyle w:val="Forte"/>
          <w:b w:val="0"/>
          <w:bCs w:val="0"/>
          <w:i/>
          <w:iCs/>
        </w:rPr>
      </w:pPr>
      <w:r w:rsidRPr="00B94638">
        <w:rPr>
          <w:rStyle w:val="Forte"/>
          <w:b w:val="0"/>
          <w:bCs w:val="0"/>
          <w:i/>
          <w:iCs/>
        </w:rPr>
        <w:t>Art. 36. Poderão as Juntas Comerciais, fora de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suas sedes, atendidas as conveniências do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serviço, delegar competência a outra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autoridade pública para autenticar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instrumentos de escrituração dos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empresários individuais, das empresas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individuais de responsabilidade Ltda -EIRELI, das sociedades empresárias, das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cooperativas, dos consórcios, dos grupos de</w:t>
      </w:r>
      <w:r w:rsidR="00B94638" w:rsidRPr="00B94638">
        <w:rPr>
          <w:rStyle w:val="Forte"/>
          <w:b w:val="0"/>
          <w:bCs w:val="0"/>
          <w:i/>
          <w:iCs/>
        </w:rPr>
        <w:t xml:space="preserve"> </w:t>
      </w:r>
      <w:r w:rsidRPr="00B94638">
        <w:rPr>
          <w:rStyle w:val="Forte"/>
          <w:b w:val="0"/>
          <w:bCs w:val="0"/>
          <w:i/>
          <w:iCs/>
        </w:rPr>
        <w:t>sociedades, excepcionados os livros digitais.</w:t>
      </w:r>
    </w:p>
    <w:p w14:paraId="4D5CAB29" w14:textId="74DA7C57" w:rsidR="009227A0" w:rsidRDefault="009227A0" w:rsidP="00B94638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B94638">
        <w:rPr>
          <w:rStyle w:val="Forte"/>
          <w:b w:val="0"/>
          <w:bCs w:val="0"/>
          <w:sz w:val="24"/>
          <w:szCs w:val="24"/>
        </w:rPr>
        <w:t>Nesse contexto, com base no referido permissivo,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que diz ser possível que CRPJ possa proceder a autenticação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da abertura e encerramento do livro contábil em substituição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à JUCESP, caberia ao autor comprovar que o cartório de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Registro civil não possui competência para tanto, o que não</w:t>
      </w:r>
      <w:r w:rsidR="00B94638"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ocorreu no presente caso</w:t>
      </w:r>
      <w:r w:rsidR="00B94638">
        <w:rPr>
          <w:rStyle w:val="Forte"/>
          <w:b w:val="0"/>
          <w:bCs w:val="0"/>
          <w:sz w:val="24"/>
          <w:szCs w:val="24"/>
        </w:rPr>
        <w:t>.</w:t>
      </w:r>
    </w:p>
    <w:p w14:paraId="6AEE7382" w14:textId="77777777" w:rsidR="00B94638" w:rsidRDefault="00B94638" w:rsidP="00B94638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B94638">
        <w:rPr>
          <w:rStyle w:val="Forte"/>
          <w:b w:val="0"/>
          <w:bCs w:val="0"/>
          <w:sz w:val="24"/>
          <w:szCs w:val="24"/>
        </w:rPr>
        <w:t>E mais que isso, os atos dos notariais são</w:t>
      </w:r>
      <w:r>
        <w:rPr>
          <w:rStyle w:val="Forte"/>
          <w:b w:val="0"/>
          <w:bCs w:val="0"/>
          <w:sz w:val="24"/>
          <w:szCs w:val="24"/>
        </w:rPr>
        <w:t xml:space="preserve"> </w:t>
      </w:r>
      <w:r w:rsidRPr="00B94638">
        <w:rPr>
          <w:rStyle w:val="Forte"/>
          <w:b w:val="0"/>
          <w:bCs w:val="0"/>
          <w:sz w:val="24"/>
          <w:szCs w:val="24"/>
        </w:rPr>
        <w:t>dotados de fé pública e agem em nome do Estado.</w:t>
      </w:r>
    </w:p>
    <w:p w14:paraId="11CD4FDB" w14:textId="77777777" w:rsidR="00B94638" w:rsidRDefault="00B94638" w:rsidP="00B94638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B94638">
        <w:rPr>
          <w:rStyle w:val="Forte"/>
          <w:b w:val="0"/>
          <w:bCs w:val="0"/>
          <w:sz w:val="24"/>
          <w:szCs w:val="24"/>
        </w:rPr>
        <w:t>Nesse sentido o artigo 3º, da Lei nº 8.935/ 1994.</w:t>
      </w:r>
    </w:p>
    <w:p w14:paraId="627BB308" w14:textId="041128C0" w:rsidR="00B94638" w:rsidRPr="00B94638" w:rsidRDefault="00B94638" w:rsidP="00B94638">
      <w:pPr>
        <w:ind w:left="2832"/>
        <w:jc w:val="both"/>
        <w:rPr>
          <w:rStyle w:val="Forte"/>
          <w:b w:val="0"/>
          <w:bCs w:val="0"/>
          <w:i/>
          <w:iCs/>
        </w:rPr>
      </w:pPr>
      <w:r w:rsidRPr="00B94638">
        <w:rPr>
          <w:rStyle w:val="Forte"/>
          <w:b w:val="0"/>
          <w:bCs w:val="0"/>
          <w:i/>
          <w:iCs/>
        </w:rPr>
        <w:t>Art. 3º Notário, ou tabelião, e oficial de registro, ou registrador, são profissionais do direito, dotados de fé pública, a quem é delegado o exercício da atividade notarial e de registro</w:t>
      </w:r>
    </w:p>
    <w:p w14:paraId="0C5E44D6" w14:textId="7CA2ABB9" w:rsidR="00253FA3" w:rsidRDefault="00253FA3" w:rsidP="00E339BC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ab/>
      </w:r>
      <w:r w:rsidR="00B94638">
        <w:rPr>
          <w:rStyle w:val="Forte"/>
          <w:b w:val="0"/>
          <w:bCs w:val="0"/>
          <w:sz w:val="24"/>
          <w:szCs w:val="24"/>
        </w:rPr>
        <w:t xml:space="preserve">Assim, dadas essas considerações sobre </w:t>
      </w:r>
      <w:r w:rsidR="005C26B5">
        <w:rPr>
          <w:rStyle w:val="Forte"/>
          <w:b w:val="0"/>
          <w:bCs w:val="0"/>
          <w:sz w:val="24"/>
          <w:szCs w:val="24"/>
        </w:rPr>
        <w:t>o balanço patrimonial, basta a simples leitura do documento entregue, o qual possui o registro perante a Junta Comercial do Estado de São Paulo</w:t>
      </w:r>
      <w:r w:rsidR="00B94638">
        <w:rPr>
          <w:rStyle w:val="Forte"/>
          <w:b w:val="0"/>
          <w:bCs w:val="0"/>
          <w:sz w:val="24"/>
          <w:szCs w:val="24"/>
        </w:rPr>
        <w:t>.</w:t>
      </w:r>
    </w:p>
    <w:p w14:paraId="0A7AE6BE" w14:textId="6B039ADB" w:rsidR="005C26B5" w:rsidRDefault="005C26B5" w:rsidP="00E339BC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ab/>
        <w:t>Com essa situação, não merece prosperar as razões recursais expostas.</w:t>
      </w:r>
    </w:p>
    <w:p w14:paraId="5A021CB0" w14:textId="77777777" w:rsidR="005C26B5" w:rsidRDefault="005C26B5" w:rsidP="00E339BC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</w:p>
    <w:p w14:paraId="6DD1BFCF" w14:textId="7B256B11" w:rsidR="005C26B5" w:rsidRDefault="005C26B5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t>3.</w:t>
      </w:r>
      <w:r>
        <w:rPr>
          <w:rStyle w:val="Forte"/>
          <w:sz w:val="24"/>
          <w:szCs w:val="24"/>
        </w:rPr>
        <w:t>3</w:t>
      </w:r>
      <w:r w:rsidRPr="002C4740">
        <w:rPr>
          <w:rStyle w:val="Forte"/>
          <w:sz w:val="24"/>
          <w:szCs w:val="24"/>
        </w:rPr>
        <w:t xml:space="preserve"> </w:t>
      </w:r>
      <w:r>
        <w:rPr>
          <w:rStyle w:val="Forte"/>
          <w:sz w:val="24"/>
          <w:szCs w:val="24"/>
        </w:rPr>
        <w:t>DA PLANILHA DE CUSTOS</w:t>
      </w:r>
    </w:p>
    <w:p w14:paraId="61F7EA3A" w14:textId="32830D75" w:rsidR="005C26B5" w:rsidRDefault="005C26B5" w:rsidP="005C26B5">
      <w:pPr>
        <w:spacing w:line="360" w:lineRule="auto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4"/>
          <w:szCs w:val="24"/>
        </w:rPr>
        <w:tab/>
      </w:r>
      <w:r>
        <w:rPr>
          <w:rStyle w:val="Forte"/>
          <w:b w:val="0"/>
          <w:bCs w:val="0"/>
          <w:sz w:val="24"/>
          <w:szCs w:val="24"/>
        </w:rPr>
        <w:t>No que diz respeito ao recurso no que tange a</w:t>
      </w:r>
      <w:r>
        <w:rPr>
          <w:rStyle w:val="Forte"/>
          <w:b w:val="0"/>
          <w:bCs w:val="0"/>
          <w:sz w:val="24"/>
          <w:szCs w:val="24"/>
        </w:rPr>
        <w:t xml:space="preserve"> proposta apresentada em desacordo com o Edital, </w:t>
      </w:r>
      <w:r>
        <w:rPr>
          <w:rStyle w:val="Forte"/>
          <w:b w:val="0"/>
          <w:bCs w:val="0"/>
          <w:sz w:val="24"/>
          <w:szCs w:val="24"/>
        </w:rPr>
        <w:t>cabe destacar que na realidade dos fatos a proposta entregue seguiu o modelo constante em Edital, na forma do Anexo VIII da Tomada de Preços nº 014/2023.</w:t>
      </w:r>
    </w:p>
    <w:p w14:paraId="1404AF8E" w14:textId="05C3AF56" w:rsidR="005C26B5" w:rsidRDefault="005C26B5" w:rsidP="005C26B5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 xml:space="preserve">Por oportuno, </w:t>
      </w:r>
      <w:r w:rsidR="003F446D">
        <w:rPr>
          <w:rStyle w:val="Forte"/>
          <w:b w:val="0"/>
          <w:bCs w:val="0"/>
          <w:sz w:val="24"/>
          <w:szCs w:val="24"/>
        </w:rPr>
        <w:t xml:space="preserve">a análise da proposta comercial pela Administração se fundamenta sob dois pontos principais: </w:t>
      </w:r>
      <w:r w:rsidR="003F446D">
        <w:rPr>
          <w:rStyle w:val="Forte"/>
          <w:sz w:val="24"/>
          <w:szCs w:val="24"/>
        </w:rPr>
        <w:t>1.</w:t>
      </w:r>
      <w:r w:rsidR="003F446D">
        <w:rPr>
          <w:rStyle w:val="Forte"/>
          <w:b w:val="0"/>
          <w:bCs w:val="0"/>
          <w:sz w:val="24"/>
          <w:szCs w:val="24"/>
        </w:rPr>
        <w:t xml:space="preserve"> Se o valor apresentado é exequível ou não; </w:t>
      </w:r>
      <w:r w:rsidR="003F446D">
        <w:rPr>
          <w:rStyle w:val="Forte"/>
          <w:sz w:val="24"/>
          <w:szCs w:val="24"/>
        </w:rPr>
        <w:t>2.</w:t>
      </w:r>
      <w:r w:rsidR="003F446D">
        <w:rPr>
          <w:rStyle w:val="Forte"/>
          <w:b w:val="0"/>
          <w:bCs w:val="0"/>
          <w:sz w:val="24"/>
          <w:szCs w:val="24"/>
        </w:rPr>
        <w:t xml:space="preserve"> Se a proposta entregue constou o preenchimento adequado dos itens a serem licitados.</w:t>
      </w:r>
    </w:p>
    <w:p w14:paraId="2698A2ED" w14:textId="77777777" w:rsidR="003F446D" w:rsidRPr="007D7DD5" w:rsidRDefault="003F446D" w:rsidP="003F446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sentido,</w:t>
      </w:r>
      <w:r w:rsidRPr="007D7DD5">
        <w:rPr>
          <w:sz w:val="24"/>
          <w:szCs w:val="24"/>
        </w:rPr>
        <w:t xml:space="preserve"> vejamos a decisão do Tribunal de Justiça:</w:t>
      </w:r>
    </w:p>
    <w:p w14:paraId="48AF2641" w14:textId="77777777" w:rsidR="003F446D" w:rsidRPr="002661A3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2661A3">
        <w:rPr>
          <w:rFonts w:ascii="Times New Roman" w:hAnsi="Times New Roman" w:cs="Times New Roman"/>
        </w:rPr>
        <w:t xml:space="preserve">LICITAÇÃO. INEXEQUIBILIDADE DA PROPOSTA. PRESUNÇÃO RELATIVA. A inexequibilidade de valores prevista no art. 48 da Lei n° 8.666/1993 (de 21-6), incluída a que se considera manifesta (§ 1°), não tem o estatuto de uma presunção absoluta: "Se o particular puder comprovar </w:t>
      </w:r>
      <w:r w:rsidRPr="002661A3">
        <w:rPr>
          <w:rFonts w:ascii="Times New Roman" w:hAnsi="Times New Roman" w:cs="Times New Roman"/>
        </w:rPr>
        <w:lastRenderedPageBreak/>
        <w:t>que sua proposta é exequível, não se lhe poderá interditar o exercício do direito de apresentá-la" (Marçal JUSTEN FILHO). Provimento do recurso.</w:t>
      </w:r>
    </w:p>
    <w:p w14:paraId="025B6262" w14:textId="77777777" w:rsidR="003F446D" w:rsidRPr="002661A3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2661A3">
        <w:rPr>
          <w:rFonts w:ascii="Times New Roman" w:hAnsi="Times New Roman" w:cs="Times New Roman"/>
        </w:rPr>
        <w:t xml:space="preserve">(TJ-SP - AC: 10066735220158260297 SP 1006673- 52.2015.8.26.0297, Relator: Ricardo </w:t>
      </w:r>
      <w:proofErr w:type="spellStart"/>
      <w:r w:rsidRPr="002661A3">
        <w:rPr>
          <w:rFonts w:ascii="Times New Roman" w:hAnsi="Times New Roman" w:cs="Times New Roman"/>
        </w:rPr>
        <w:t>Dip</w:t>
      </w:r>
      <w:proofErr w:type="spellEnd"/>
      <w:r w:rsidRPr="002661A3">
        <w:rPr>
          <w:rFonts w:ascii="Times New Roman" w:hAnsi="Times New Roman" w:cs="Times New Roman"/>
        </w:rPr>
        <w:t>, Data de Julgamento: 27/04/2018, 11a Câmara de Direito Público, Data de Publicação: 27/04/2018)</w:t>
      </w:r>
    </w:p>
    <w:p w14:paraId="06DA0A1E" w14:textId="77777777" w:rsidR="003F446D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</w:p>
    <w:p w14:paraId="75C2E36F" w14:textId="77777777" w:rsidR="003F446D" w:rsidRPr="007D7DD5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7D7DD5">
        <w:rPr>
          <w:rFonts w:ascii="Times New Roman" w:hAnsi="Times New Roman" w:cs="Times New Roman"/>
        </w:rPr>
        <w:t xml:space="preserve">(...) </w:t>
      </w:r>
      <w:r w:rsidRPr="007D7DD5">
        <w:rPr>
          <w:rFonts w:ascii="Times New Roman" w:hAnsi="Times New Roman" w:cs="Times New Roman"/>
          <w:b/>
          <w:bCs/>
        </w:rPr>
        <w:t>A APRECIAÇÃO DA EXEQUIBILIDADE DA PROPOSTA NÃO DEVE OCORRER DE MANEIRA INFLEXÍVEL, POSTO QUE, POR SE TRATAR DE PRESUNÇÃO RELATIVA</w:t>
      </w:r>
      <w:r w:rsidRPr="007D7DD5">
        <w:rPr>
          <w:rFonts w:ascii="Times New Roman" w:hAnsi="Times New Roman" w:cs="Times New Roman"/>
        </w:rPr>
        <w:t>, mostra-se razoável franquear à empresa a oportunidade de demonstrar sua capacidade de executar o serviço satisfatoriamente, conforme orientação sedimentada no STJ. Entendimento firmado também na ambiência das Câmaras de Direito Público do TJCE. 4.Agravo de Instrumento conhecido e desprovido. ACÓRDÃO ACORDA a 3ª CÂMARA DE DIREITO PÚBLICO DO TRIBUNAL DE JUSTIÇA DO CEARÁ, por uma de suas turmas julgadoras, à unanimidade, em conhecer do Agravo de Instrumento, mas para negar-lhe provimento, nos termos do voto do relator, parte deste. Fortaleza, 9 de novembro de 2020.</w:t>
      </w:r>
    </w:p>
    <w:p w14:paraId="509C158C" w14:textId="77777777" w:rsidR="003F446D" w:rsidRPr="007D7DD5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7D7DD5">
        <w:rPr>
          <w:rFonts w:ascii="Times New Roman" w:hAnsi="Times New Roman" w:cs="Times New Roman"/>
        </w:rPr>
        <w:t>(TJ-CE - AI: 06216493220208060000 CE 0621649-32.2020.8.06.0000, Relator: ANTÔNIO ABELARDO BENEVIDES MORAES, Data de Julgamento: 09/11/2020, 3ª Câmara Direito Público, Data de Publicação: 09/11/2020)(destaquei)</w:t>
      </w:r>
    </w:p>
    <w:p w14:paraId="0EF36CB6" w14:textId="77777777" w:rsidR="003F446D" w:rsidRPr="007D7DD5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</w:p>
    <w:p w14:paraId="2B9E3538" w14:textId="77777777" w:rsidR="003F446D" w:rsidRPr="00824B06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824B06">
        <w:rPr>
          <w:rFonts w:ascii="Times New Roman" w:hAnsi="Times New Roman" w:cs="Times New Roman"/>
        </w:rPr>
        <w:t xml:space="preserve">RECURSO ESPECIAL. ADMINISTRATIVO. LICITAÇÃO. PROPOSTA INEXEQUÍVEL. ART. 48, I E II, § 1º, DA LEI 8.666/93. PRESUNÇÃO RELATIVA. </w:t>
      </w:r>
      <w:r w:rsidRPr="00824B06">
        <w:rPr>
          <w:rFonts w:ascii="Times New Roman" w:hAnsi="Times New Roman" w:cs="Times New Roman"/>
          <w:b/>
          <w:bCs/>
        </w:rPr>
        <w:t>POSSIBILIDADE DE COMPROVAÇÃO PELO LICITANTE DA EXEQUIBILIDADE DA PROPOSTA</w:t>
      </w:r>
      <w:r w:rsidRPr="00824B06">
        <w:rPr>
          <w:rFonts w:ascii="Times New Roman" w:hAnsi="Times New Roman" w:cs="Times New Roman"/>
        </w:rPr>
        <w:t xml:space="preserve">. RECURSO DESPROVIDO. </w:t>
      </w:r>
      <w:r w:rsidRPr="007D7DD5">
        <w:rPr>
          <w:rFonts w:ascii="Times New Roman" w:hAnsi="Times New Roman" w:cs="Times New Roman"/>
        </w:rPr>
        <w:t>(...)</w:t>
      </w:r>
      <w:r w:rsidRPr="00824B06">
        <w:rPr>
          <w:rFonts w:ascii="Times New Roman" w:hAnsi="Times New Roman" w:cs="Times New Roman"/>
        </w:rPr>
        <w:t xml:space="preserve"> A licitação visa a selecionar a proposta mais vantajosa à Administração Pública, de maneira que </w:t>
      </w:r>
      <w:r w:rsidRPr="00824B06">
        <w:rPr>
          <w:rFonts w:ascii="Times New Roman" w:hAnsi="Times New Roman" w:cs="Times New Roman"/>
          <w:b/>
          <w:bCs/>
          <w:u w:val="single"/>
        </w:rPr>
        <w:t>a inexequibilidade</w:t>
      </w:r>
      <w:r w:rsidRPr="00824B06">
        <w:rPr>
          <w:rFonts w:ascii="Times New Roman" w:hAnsi="Times New Roman" w:cs="Times New Roman"/>
        </w:rPr>
        <w:t xml:space="preserve"> prevista no mencionado art. 48 da Lei de Licitações e Contratos Administrativos </w:t>
      </w:r>
      <w:r w:rsidRPr="00824B06">
        <w:rPr>
          <w:rFonts w:ascii="Times New Roman" w:hAnsi="Times New Roman" w:cs="Times New Roman"/>
          <w:b/>
          <w:bCs/>
          <w:u w:val="single"/>
        </w:rPr>
        <w:t>não pode ser avaliada de forma absoluta e rígida</w:t>
      </w:r>
      <w:r w:rsidRPr="00824B06">
        <w:rPr>
          <w:rFonts w:ascii="Times New Roman" w:hAnsi="Times New Roman" w:cs="Times New Roman"/>
        </w:rPr>
        <w:t xml:space="preserve">. Ao contrário, deve ser examinada em cada caso, averiguando-se se a proposta apresentada, embora enquadrada em alguma das hipóteses de inexequibilidade, pode ser, concretamente, executada pelo proponente. Destarte, a presunção de inexequibilidade deve ser considerada relativa, podendo ser afastada, por meio da demonstração, pelo licitante que apresenta a proposta, de que esta é de valor reduzido, mas exequível. </w:t>
      </w:r>
      <w:r w:rsidRPr="007D7DD5">
        <w:rPr>
          <w:rFonts w:ascii="Times New Roman" w:hAnsi="Times New Roman" w:cs="Times New Roman"/>
        </w:rPr>
        <w:t>(...)</w:t>
      </w:r>
    </w:p>
    <w:p w14:paraId="6F6C7A89" w14:textId="77777777" w:rsidR="003F446D" w:rsidRPr="00824B06" w:rsidRDefault="003F446D" w:rsidP="003F446D">
      <w:pPr>
        <w:pStyle w:val="Default"/>
        <w:ind w:left="2268"/>
        <w:jc w:val="both"/>
        <w:rPr>
          <w:rFonts w:ascii="Times New Roman" w:hAnsi="Times New Roman" w:cs="Times New Roman"/>
        </w:rPr>
      </w:pPr>
      <w:r w:rsidRPr="00824B06">
        <w:rPr>
          <w:rFonts w:ascii="Times New Roman" w:hAnsi="Times New Roman" w:cs="Times New Roman"/>
        </w:rPr>
        <w:t xml:space="preserve">(STJ - REsp: 965839 SP 2007/0152265-0, Relator: Ministra DENISE ARRUDA, Data de Julgamento: 15/12/2009, T1 - PRIMEIRA TURMA, Data de Publicação: </w:t>
      </w:r>
      <w:proofErr w:type="spellStart"/>
      <w:r w:rsidRPr="00824B06">
        <w:rPr>
          <w:rFonts w:ascii="Times New Roman" w:hAnsi="Times New Roman" w:cs="Times New Roman"/>
        </w:rPr>
        <w:t>DJe</w:t>
      </w:r>
      <w:proofErr w:type="spellEnd"/>
      <w:r w:rsidRPr="00824B06">
        <w:rPr>
          <w:rFonts w:ascii="Times New Roman" w:hAnsi="Times New Roman" w:cs="Times New Roman"/>
        </w:rPr>
        <w:t xml:space="preserve"> 02/02/2010)</w:t>
      </w:r>
    </w:p>
    <w:p w14:paraId="05ED768F" w14:textId="3F2A273F" w:rsidR="003F446D" w:rsidRDefault="003F446D" w:rsidP="003F446D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b w:val="0"/>
          <w:bCs w:val="0"/>
          <w:sz w:val="24"/>
          <w:szCs w:val="24"/>
        </w:rPr>
        <w:t>Assim,</w:t>
      </w:r>
      <w:r w:rsidRPr="00154987">
        <w:rPr>
          <w:rStyle w:val="Forte"/>
          <w:b w:val="0"/>
          <w:bCs w:val="0"/>
          <w:sz w:val="24"/>
          <w:szCs w:val="24"/>
        </w:rPr>
        <w:tab/>
      </w:r>
      <w:r>
        <w:rPr>
          <w:rStyle w:val="Forte"/>
          <w:b w:val="0"/>
          <w:bCs w:val="0"/>
          <w:sz w:val="24"/>
          <w:szCs w:val="24"/>
        </w:rPr>
        <w:t>considerando a proposta entregue e toda a documentação apresentada, constata-se que a referida empresa vencedora atendeu a todas as cláusulas e condições do edital.</w:t>
      </w:r>
    </w:p>
    <w:p w14:paraId="20CDA2BE" w14:textId="77777777" w:rsidR="003F446D" w:rsidRDefault="003F446D" w:rsidP="00E339BC">
      <w:pPr>
        <w:spacing w:line="360" w:lineRule="auto"/>
        <w:jc w:val="both"/>
        <w:rPr>
          <w:rStyle w:val="Forte"/>
          <w:sz w:val="24"/>
          <w:szCs w:val="24"/>
        </w:rPr>
      </w:pPr>
    </w:p>
    <w:p w14:paraId="3CF074CE" w14:textId="18697581" w:rsidR="00E339BC" w:rsidRPr="002C4740" w:rsidRDefault="00E339BC" w:rsidP="00E339BC">
      <w:pPr>
        <w:spacing w:line="360" w:lineRule="auto"/>
        <w:jc w:val="both"/>
        <w:rPr>
          <w:rStyle w:val="Forte"/>
          <w:sz w:val="24"/>
          <w:szCs w:val="24"/>
        </w:rPr>
      </w:pPr>
      <w:r w:rsidRPr="002C4740">
        <w:rPr>
          <w:rStyle w:val="Forte"/>
          <w:sz w:val="24"/>
          <w:szCs w:val="24"/>
        </w:rPr>
        <w:lastRenderedPageBreak/>
        <w:t xml:space="preserve">4. DA </w:t>
      </w:r>
      <w:r w:rsidR="00B94638">
        <w:rPr>
          <w:rStyle w:val="Forte"/>
          <w:sz w:val="24"/>
          <w:szCs w:val="24"/>
        </w:rPr>
        <w:t>CONCLUSÃO</w:t>
      </w:r>
      <w:r w:rsidRPr="002C4740">
        <w:rPr>
          <w:rStyle w:val="Forte"/>
          <w:sz w:val="24"/>
          <w:szCs w:val="24"/>
        </w:rPr>
        <w:t xml:space="preserve"> </w:t>
      </w:r>
    </w:p>
    <w:p w14:paraId="0E0AE6B3" w14:textId="6514ED50" w:rsidR="003F446D" w:rsidRPr="0047581E" w:rsidRDefault="00E339BC" w:rsidP="003F446D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Posto isso, pelos fundamentos acima delineados, </w:t>
      </w:r>
      <w:r w:rsidR="003F446D">
        <w:rPr>
          <w:rStyle w:val="Forte"/>
          <w:b w:val="0"/>
          <w:bCs w:val="0"/>
          <w:sz w:val="24"/>
          <w:szCs w:val="24"/>
        </w:rPr>
        <w:t>OPINO</w:t>
      </w:r>
      <w:r w:rsidR="003F446D" w:rsidRPr="00154987">
        <w:rPr>
          <w:rStyle w:val="Forte"/>
          <w:b w:val="0"/>
          <w:bCs w:val="0"/>
          <w:sz w:val="24"/>
          <w:szCs w:val="24"/>
        </w:rPr>
        <w:t xml:space="preserve"> pel</w:t>
      </w:r>
      <w:r w:rsidR="003F446D">
        <w:rPr>
          <w:rStyle w:val="Forte"/>
          <w:b w:val="0"/>
          <w:bCs w:val="0"/>
          <w:sz w:val="24"/>
          <w:szCs w:val="24"/>
        </w:rPr>
        <w:t>a</w:t>
      </w:r>
      <w:r w:rsidR="003F446D" w:rsidRPr="00154987">
        <w:rPr>
          <w:rStyle w:val="Forte"/>
          <w:b w:val="0"/>
          <w:bCs w:val="0"/>
          <w:sz w:val="24"/>
          <w:szCs w:val="24"/>
        </w:rPr>
        <w:t xml:space="preserve"> </w:t>
      </w:r>
      <w:r w:rsidR="003F446D">
        <w:rPr>
          <w:rStyle w:val="Forte"/>
          <w:b w:val="0"/>
          <w:bCs w:val="0"/>
          <w:sz w:val="24"/>
          <w:szCs w:val="24"/>
        </w:rPr>
        <w:t xml:space="preserve">IMPROCEDÊNCIA DO RECURSO Administrativo interposto pela empresa </w:t>
      </w:r>
      <w:r w:rsidR="003F446D" w:rsidRPr="00293773">
        <w:rPr>
          <w:rStyle w:val="Forte"/>
          <w:b w:val="0"/>
          <w:bCs w:val="0"/>
          <w:sz w:val="24"/>
          <w:szCs w:val="24"/>
        </w:rPr>
        <w:t>J &amp; ALVES ENGENHARIA E CONSTRUCOES LTDA</w:t>
      </w:r>
      <w:r w:rsidR="003F446D">
        <w:rPr>
          <w:rStyle w:val="Forte"/>
          <w:b w:val="0"/>
          <w:bCs w:val="0"/>
          <w:sz w:val="24"/>
          <w:szCs w:val="24"/>
        </w:rPr>
        <w:t>.</w:t>
      </w:r>
    </w:p>
    <w:p w14:paraId="5341128E" w14:textId="41422142" w:rsidR="003F446D" w:rsidRPr="00A12D56" w:rsidRDefault="003F446D" w:rsidP="003F446D">
      <w:pPr>
        <w:spacing w:line="360" w:lineRule="auto"/>
        <w:jc w:val="both"/>
        <w:rPr>
          <w:sz w:val="24"/>
          <w:szCs w:val="24"/>
        </w:rPr>
      </w:pPr>
      <w:r w:rsidRPr="00A12D56">
        <w:rPr>
          <w:sz w:val="24"/>
          <w:szCs w:val="24"/>
        </w:rPr>
        <w:t xml:space="preserve">Nesse sentido, </w:t>
      </w:r>
      <w:r>
        <w:rPr>
          <w:sz w:val="24"/>
          <w:szCs w:val="24"/>
        </w:rPr>
        <w:t>oriento</w:t>
      </w:r>
      <w:r w:rsidRPr="00A12D56">
        <w:rPr>
          <w:sz w:val="24"/>
          <w:szCs w:val="24"/>
        </w:rPr>
        <w:t xml:space="preserve"> pelo processamento do feito e prosseguimento do certame quanto as providências de HOMOLOGAÇÃO E ADJUDICAÇÃO </w:t>
      </w:r>
      <w:r>
        <w:rPr>
          <w:sz w:val="24"/>
          <w:szCs w:val="24"/>
        </w:rPr>
        <w:t xml:space="preserve">da </w:t>
      </w:r>
      <w:r w:rsidRPr="009227A0">
        <w:rPr>
          <w:rStyle w:val="Forte"/>
          <w:b w:val="0"/>
          <w:bCs w:val="0"/>
          <w:sz w:val="24"/>
          <w:szCs w:val="24"/>
        </w:rPr>
        <w:t>Tomada de Preços n</w:t>
      </w:r>
      <w:r w:rsidRPr="009227A0">
        <w:rPr>
          <w:rStyle w:val="Forte"/>
          <w:b w:val="0"/>
          <w:bCs w:val="0"/>
          <w:sz w:val="24"/>
          <w:szCs w:val="24"/>
        </w:rPr>
        <w:t xml:space="preserve">. </w:t>
      </w:r>
      <w:r>
        <w:rPr>
          <w:rStyle w:val="Forte"/>
          <w:b w:val="0"/>
          <w:bCs w:val="0"/>
          <w:sz w:val="24"/>
          <w:szCs w:val="24"/>
        </w:rPr>
        <w:t>014/2023</w:t>
      </w:r>
      <w:r>
        <w:rPr>
          <w:sz w:val="24"/>
          <w:szCs w:val="24"/>
        </w:rPr>
        <w:t>, nos termos anteriores já decididos em ata de sessão.</w:t>
      </w:r>
    </w:p>
    <w:p w14:paraId="5F4F46F8" w14:textId="1075A02C" w:rsidR="00E339BC" w:rsidRPr="002C4740" w:rsidRDefault="00E339BC" w:rsidP="00E339BC">
      <w:pPr>
        <w:spacing w:line="360" w:lineRule="auto"/>
        <w:ind w:firstLine="708"/>
        <w:jc w:val="both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É de se esclarecer, outrossim, que o presente parecer é meramente opinativo, não possuindo caráter decisório, conforme sólidos entendimentos doutrinários (José dos Santos Carvalho Filho, Manual de Dir. Administrativo. 33ª Ed. São Paulo: Atlas, 2019) e jurisprudenciais (STF, Pleno, ADPF 412 </w:t>
      </w:r>
      <w:proofErr w:type="spellStart"/>
      <w:r w:rsidRPr="002C4740">
        <w:rPr>
          <w:rStyle w:val="Forte"/>
          <w:b w:val="0"/>
          <w:bCs w:val="0"/>
          <w:sz w:val="24"/>
          <w:szCs w:val="24"/>
        </w:rPr>
        <w:t>AgR</w:t>
      </w:r>
      <w:proofErr w:type="spellEnd"/>
      <w:r w:rsidRPr="002C4740">
        <w:rPr>
          <w:rStyle w:val="Forte"/>
          <w:b w:val="0"/>
          <w:bCs w:val="0"/>
          <w:sz w:val="24"/>
          <w:szCs w:val="24"/>
        </w:rPr>
        <w:t xml:space="preserve">, Rel. Min. Alexandre de Moraes, j. 20.12.2019, </w:t>
      </w:r>
      <w:proofErr w:type="spellStart"/>
      <w:r w:rsidRPr="002C4740">
        <w:rPr>
          <w:rStyle w:val="Forte"/>
          <w:b w:val="0"/>
          <w:bCs w:val="0"/>
          <w:sz w:val="24"/>
          <w:szCs w:val="24"/>
        </w:rPr>
        <w:t>DJe</w:t>
      </w:r>
      <w:proofErr w:type="spellEnd"/>
      <w:r w:rsidRPr="002C4740">
        <w:rPr>
          <w:rStyle w:val="Forte"/>
          <w:b w:val="0"/>
          <w:bCs w:val="0"/>
          <w:sz w:val="24"/>
          <w:szCs w:val="24"/>
        </w:rPr>
        <w:t xml:space="preserve"> 26.02.2020; e STF, Habeas Corpus (HC) 171576, Rel. Min. Gilmar Mendes).</w:t>
      </w:r>
    </w:p>
    <w:p w14:paraId="7F6289E8" w14:textId="77777777" w:rsidR="00E339BC" w:rsidRPr="002C4740" w:rsidRDefault="00E339BC" w:rsidP="00E339BC">
      <w:pPr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0251861E" w14:textId="31CA3AB3" w:rsidR="00E339BC" w:rsidRPr="002C4740" w:rsidRDefault="00E339BC" w:rsidP="00E339BC">
      <w:pPr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 xml:space="preserve">Santo Antônio de Posse, </w:t>
      </w:r>
      <w:r w:rsidR="003F446D">
        <w:rPr>
          <w:rStyle w:val="Forte"/>
          <w:b w:val="0"/>
          <w:bCs w:val="0"/>
          <w:sz w:val="24"/>
          <w:szCs w:val="24"/>
        </w:rPr>
        <w:t>9 de abril de 2024</w:t>
      </w:r>
      <w:r w:rsidRPr="002C4740">
        <w:rPr>
          <w:rStyle w:val="Forte"/>
          <w:b w:val="0"/>
          <w:bCs w:val="0"/>
          <w:sz w:val="24"/>
          <w:szCs w:val="24"/>
        </w:rPr>
        <w:t>.</w:t>
      </w:r>
    </w:p>
    <w:p w14:paraId="67576D3B" w14:textId="77777777" w:rsidR="000115E8" w:rsidRDefault="000115E8" w:rsidP="000115E8">
      <w:pPr>
        <w:jc w:val="right"/>
        <w:rPr>
          <w:rStyle w:val="Forte"/>
          <w:b w:val="0"/>
          <w:bCs w:val="0"/>
          <w:sz w:val="24"/>
          <w:szCs w:val="24"/>
        </w:rPr>
      </w:pPr>
    </w:p>
    <w:p w14:paraId="2E19BD0F" w14:textId="77777777" w:rsidR="000115E8" w:rsidRDefault="000115E8" w:rsidP="000115E8">
      <w:pPr>
        <w:jc w:val="right"/>
        <w:rPr>
          <w:rStyle w:val="Forte"/>
          <w:b w:val="0"/>
          <w:bCs w:val="0"/>
          <w:sz w:val="24"/>
          <w:szCs w:val="24"/>
        </w:rPr>
      </w:pPr>
    </w:p>
    <w:p w14:paraId="7E849CAB" w14:textId="2EC16FEF" w:rsidR="00E339BC" w:rsidRPr="00D1054E" w:rsidRDefault="00E339BC" w:rsidP="00D1054E">
      <w:pPr>
        <w:jc w:val="center"/>
        <w:rPr>
          <w:rStyle w:val="Forte"/>
          <w:sz w:val="24"/>
          <w:szCs w:val="24"/>
        </w:rPr>
      </w:pPr>
      <w:r w:rsidRPr="00D1054E">
        <w:rPr>
          <w:rStyle w:val="Forte"/>
          <w:sz w:val="24"/>
          <w:szCs w:val="24"/>
        </w:rPr>
        <w:t>Thiago Gomes Cardonia</w:t>
      </w:r>
    </w:p>
    <w:p w14:paraId="407B522B" w14:textId="77777777" w:rsidR="00E339BC" w:rsidRPr="002C4740" w:rsidRDefault="00E339BC" w:rsidP="00D1054E">
      <w:pPr>
        <w:jc w:val="center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>Procurador Municipal</w:t>
      </w:r>
    </w:p>
    <w:p w14:paraId="560C13D0" w14:textId="77777777" w:rsidR="00E339BC" w:rsidRDefault="00E339BC" w:rsidP="00D1054E">
      <w:pPr>
        <w:jc w:val="center"/>
        <w:rPr>
          <w:rStyle w:val="Forte"/>
          <w:b w:val="0"/>
          <w:bCs w:val="0"/>
          <w:sz w:val="24"/>
          <w:szCs w:val="24"/>
        </w:rPr>
      </w:pPr>
      <w:r w:rsidRPr="002C4740">
        <w:rPr>
          <w:rStyle w:val="Forte"/>
          <w:b w:val="0"/>
          <w:bCs w:val="0"/>
          <w:sz w:val="24"/>
          <w:szCs w:val="24"/>
        </w:rPr>
        <w:t>OAB/SP nº. 352.084</w:t>
      </w:r>
    </w:p>
    <w:p w14:paraId="02134935" w14:textId="77777777" w:rsidR="00D1054E" w:rsidRPr="00D1054E" w:rsidRDefault="00D1054E" w:rsidP="00D1054E">
      <w:pPr>
        <w:rPr>
          <w:sz w:val="24"/>
          <w:szCs w:val="24"/>
        </w:rPr>
      </w:pPr>
    </w:p>
    <w:p w14:paraId="58CA286F" w14:textId="77777777" w:rsidR="00D1054E" w:rsidRPr="00D1054E" w:rsidRDefault="00D1054E" w:rsidP="00D1054E">
      <w:pPr>
        <w:rPr>
          <w:sz w:val="24"/>
          <w:szCs w:val="24"/>
        </w:rPr>
      </w:pPr>
    </w:p>
    <w:p w14:paraId="22787C2F" w14:textId="77777777" w:rsidR="00D1054E" w:rsidRPr="00D1054E" w:rsidRDefault="00D1054E" w:rsidP="00D1054E">
      <w:pPr>
        <w:rPr>
          <w:sz w:val="24"/>
          <w:szCs w:val="24"/>
        </w:rPr>
      </w:pPr>
    </w:p>
    <w:p w14:paraId="6992DEC7" w14:textId="77777777" w:rsidR="00D1054E" w:rsidRPr="00D1054E" w:rsidRDefault="00D1054E" w:rsidP="00D1054E">
      <w:pPr>
        <w:rPr>
          <w:sz w:val="24"/>
          <w:szCs w:val="24"/>
        </w:rPr>
      </w:pPr>
    </w:p>
    <w:p w14:paraId="46E00208" w14:textId="77777777" w:rsidR="00D1054E" w:rsidRPr="00D1054E" w:rsidRDefault="00D1054E" w:rsidP="00D1054E">
      <w:pPr>
        <w:rPr>
          <w:sz w:val="24"/>
          <w:szCs w:val="24"/>
        </w:rPr>
      </w:pPr>
    </w:p>
    <w:p w14:paraId="08ACB2FA" w14:textId="77777777" w:rsidR="00D1054E" w:rsidRPr="00D1054E" w:rsidRDefault="00D1054E" w:rsidP="00D1054E">
      <w:pPr>
        <w:rPr>
          <w:sz w:val="24"/>
          <w:szCs w:val="24"/>
        </w:rPr>
      </w:pPr>
    </w:p>
    <w:p w14:paraId="0E9D161C" w14:textId="77777777" w:rsidR="00D1054E" w:rsidRPr="00D1054E" w:rsidRDefault="00D1054E" w:rsidP="00D1054E">
      <w:pPr>
        <w:rPr>
          <w:sz w:val="24"/>
          <w:szCs w:val="24"/>
        </w:rPr>
      </w:pPr>
    </w:p>
    <w:p w14:paraId="4D87F83D" w14:textId="77777777" w:rsidR="00D1054E" w:rsidRPr="00D1054E" w:rsidRDefault="00D1054E" w:rsidP="00D1054E">
      <w:pPr>
        <w:rPr>
          <w:sz w:val="24"/>
          <w:szCs w:val="24"/>
        </w:rPr>
      </w:pPr>
    </w:p>
    <w:p w14:paraId="7DA965EA" w14:textId="77777777" w:rsidR="00D1054E" w:rsidRPr="00D1054E" w:rsidRDefault="00D1054E" w:rsidP="00D1054E">
      <w:pPr>
        <w:rPr>
          <w:sz w:val="24"/>
          <w:szCs w:val="24"/>
        </w:rPr>
      </w:pPr>
    </w:p>
    <w:p w14:paraId="24223832" w14:textId="77777777" w:rsidR="00D1054E" w:rsidRPr="00D1054E" w:rsidRDefault="00D1054E" w:rsidP="00D1054E">
      <w:pPr>
        <w:rPr>
          <w:sz w:val="24"/>
          <w:szCs w:val="24"/>
        </w:rPr>
      </w:pPr>
    </w:p>
    <w:sectPr w:rsidR="00D1054E" w:rsidRPr="00D1054E" w:rsidSect="00974C75">
      <w:headerReference w:type="default" r:id="rId8"/>
      <w:footerReference w:type="even" r:id="rId9"/>
      <w:footerReference w:type="default" r:id="rId10"/>
      <w:pgSz w:w="12240" w:h="15840"/>
      <w:pgMar w:top="2516" w:right="1183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F2D0" w14:textId="77777777" w:rsidR="00F93AF1" w:rsidRDefault="00F93AF1">
      <w:r>
        <w:separator/>
      </w:r>
    </w:p>
  </w:endnote>
  <w:endnote w:type="continuationSeparator" w:id="0">
    <w:p w14:paraId="49B79EE5" w14:textId="77777777" w:rsidR="00F93AF1" w:rsidRDefault="00F9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1CB4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1E6BB" w14:textId="77777777" w:rsidR="00475CE8" w:rsidRDefault="00475CE8">
    <w:pPr>
      <w:pStyle w:val="Rodap"/>
      <w:ind w:right="360"/>
    </w:pPr>
  </w:p>
  <w:p w14:paraId="39080A45" w14:textId="77777777" w:rsidR="006464E1" w:rsidRDefault="006464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183027"/>
      <w:docPartObj>
        <w:docPartGallery w:val="Page Numbers (Bottom of Page)"/>
        <w:docPartUnique/>
      </w:docPartObj>
    </w:sdtPr>
    <w:sdtEndPr/>
    <w:sdtContent>
      <w:p w14:paraId="18566561" w14:textId="7D4D2DB1" w:rsidR="00041FFC" w:rsidRDefault="00041FFC">
        <w:pPr>
          <w:pStyle w:val="Rodap"/>
          <w:jc w:val="right"/>
        </w:pPr>
        <w:r>
          <w:t>Fls. 0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52AE5">
          <w:t>/</w:t>
        </w:r>
        <w:r w:rsidR="001C63E6">
          <w:t>0</w:t>
        </w:r>
        <w:r w:rsidR="003F446D">
          <w:t>6</w:t>
        </w:r>
      </w:p>
    </w:sdtContent>
  </w:sdt>
  <w:p w14:paraId="4C183EF4" w14:textId="60E6FBCA" w:rsidR="00475CE8" w:rsidRDefault="00475CE8">
    <w:pPr>
      <w:pStyle w:val="Rodap"/>
      <w:ind w:right="360"/>
    </w:pPr>
  </w:p>
  <w:p w14:paraId="170BE044" w14:textId="77777777" w:rsidR="006464E1" w:rsidRDefault="006464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C287" w14:textId="77777777" w:rsidR="00F93AF1" w:rsidRDefault="00F93AF1">
      <w:r>
        <w:separator/>
      </w:r>
    </w:p>
  </w:footnote>
  <w:footnote w:type="continuationSeparator" w:id="0">
    <w:p w14:paraId="23E32D27" w14:textId="77777777" w:rsidR="00F93AF1" w:rsidRDefault="00F9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58226E" w14:paraId="3C5C4EE4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4938587A" w14:textId="470BFDEE" w:rsidR="004501DB" w:rsidRPr="004501DB" w:rsidRDefault="0058226E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E3C1F9" wp14:editId="354FF52B">
                <wp:simplePos x="0" y="0"/>
                <wp:positionH relativeFrom="column">
                  <wp:posOffset>461866</wp:posOffset>
                </wp:positionH>
                <wp:positionV relativeFrom="paragraph">
                  <wp:posOffset>52705</wp:posOffset>
                </wp:positionV>
                <wp:extent cx="647640" cy="734760"/>
                <wp:effectExtent l="0" t="0" r="60" b="8190"/>
                <wp:wrapSquare wrapText="bothSides"/>
                <wp:docPr id="6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40" cy="734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6" w:type="dxa"/>
          <w:shd w:val="clear" w:color="auto" w:fill="auto"/>
        </w:tcPr>
        <w:p w14:paraId="006E6DBC" w14:textId="61B0647D" w:rsidR="0058226E" w:rsidRDefault="0058226E" w:rsidP="0058226E">
          <w:pPr>
            <w:pStyle w:val="Cabealho"/>
            <w:tabs>
              <w:tab w:val="left" w:pos="1822"/>
            </w:tabs>
            <w:ind w:left="454"/>
            <w:jc w:val="center"/>
            <w:rPr>
              <w:rFonts w:ascii="Noto Sans" w:hAnsi="Noto Sans" w:cs="Arial"/>
              <w:b/>
              <w:color w:val="333333"/>
              <w:spacing w:val="6"/>
              <w:sz w:val="22"/>
              <w:szCs w:val="18"/>
            </w:rPr>
          </w:pPr>
          <w:r>
            <w:rPr>
              <w:rFonts w:ascii="Noto Sans" w:hAnsi="Noto Sans" w:cs="Arial"/>
              <w:b/>
              <w:color w:val="333333"/>
              <w:spacing w:val="6"/>
              <w:sz w:val="22"/>
              <w:szCs w:val="18"/>
            </w:rPr>
            <w:t>Prefeitura Municipal de Santo Antonio de Posse</w:t>
          </w:r>
        </w:p>
        <w:p w14:paraId="27747E18" w14:textId="77777777" w:rsidR="0058226E" w:rsidRDefault="0058226E" w:rsidP="0058226E">
          <w:pPr>
            <w:pStyle w:val="Cabealho"/>
            <w:tabs>
              <w:tab w:val="left" w:pos="1588"/>
              <w:tab w:val="left" w:leader="underscore" w:pos="10291"/>
            </w:tabs>
            <w:ind w:left="454"/>
            <w:jc w:val="center"/>
            <w:rPr>
              <w:rFonts w:ascii="Noto Sans" w:hAnsi="Noto Sans"/>
              <w:color w:val="333333"/>
              <w:sz w:val="15"/>
              <w:szCs w:val="15"/>
            </w:rPr>
          </w:pPr>
          <w:r>
            <w:rPr>
              <w:rFonts w:ascii="Noto Sans" w:hAnsi="Noto Sans" w:cs="Arial"/>
              <w:color w:val="333333"/>
              <w:sz w:val="15"/>
              <w:szCs w:val="15"/>
            </w:rPr>
            <w:t xml:space="preserve">Praça </w:t>
          </w:r>
          <w:proofErr w:type="spellStart"/>
          <w:r>
            <w:rPr>
              <w:rFonts w:ascii="Noto Sans" w:hAnsi="Noto Sans" w:cs="Arial"/>
              <w:color w:val="333333"/>
              <w:sz w:val="15"/>
              <w:szCs w:val="15"/>
            </w:rPr>
            <w:t>Chafia</w:t>
          </w:r>
          <w:proofErr w:type="spellEnd"/>
          <w:r>
            <w:rPr>
              <w:rFonts w:ascii="Noto Sans" w:hAnsi="Noto Sans" w:cs="Arial"/>
              <w:color w:val="333333"/>
              <w:sz w:val="15"/>
              <w:szCs w:val="15"/>
            </w:rPr>
            <w:t xml:space="preserve"> </w:t>
          </w:r>
          <w:proofErr w:type="spellStart"/>
          <w:r>
            <w:rPr>
              <w:rFonts w:ascii="Noto Sans" w:hAnsi="Noto Sans" w:cs="Arial"/>
              <w:color w:val="333333"/>
              <w:sz w:val="15"/>
              <w:szCs w:val="15"/>
            </w:rPr>
            <w:t>Chaib</w:t>
          </w:r>
          <w:proofErr w:type="spellEnd"/>
          <w:r>
            <w:rPr>
              <w:rFonts w:ascii="Noto Sans" w:hAnsi="Noto Sans" w:cs="Arial"/>
              <w:color w:val="333333"/>
              <w:sz w:val="15"/>
              <w:szCs w:val="15"/>
            </w:rPr>
            <w:t xml:space="preserve"> </w:t>
          </w:r>
          <w:proofErr w:type="spellStart"/>
          <w:r>
            <w:rPr>
              <w:rFonts w:ascii="Noto Sans" w:hAnsi="Noto Sans" w:cs="Arial"/>
              <w:color w:val="333333"/>
              <w:sz w:val="15"/>
              <w:szCs w:val="15"/>
            </w:rPr>
            <w:t>Baracat</w:t>
          </w:r>
          <w:proofErr w:type="spellEnd"/>
          <w:r>
            <w:rPr>
              <w:rFonts w:ascii="Noto Sans" w:hAnsi="Noto Sans" w:cs="Arial"/>
              <w:color w:val="333333"/>
              <w:sz w:val="15"/>
              <w:szCs w:val="15"/>
            </w:rPr>
            <w:t>, 351 – Tel. (19) 3896-9000, ramal 9016</w:t>
          </w:r>
        </w:p>
        <w:p w14:paraId="3B162C6C" w14:textId="77777777" w:rsidR="0058226E" w:rsidRDefault="0058226E" w:rsidP="0058226E">
          <w:pPr>
            <w:pStyle w:val="Cabealho"/>
            <w:tabs>
              <w:tab w:val="left" w:leader="underscore" w:pos="10291"/>
            </w:tabs>
            <w:ind w:left="454"/>
            <w:jc w:val="center"/>
            <w:rPr>
              <w:rFonts w:ascii="Noto Sans" w:hAnsi="Noto Sans"/>
              <w:color w:val="333333"/>
              <w:sz w:val="15"/>
              <w:szCs w:val="15"/>
            </w:rPr>
          </w:pPr>
          <w:r>
            <w:rPr>
              <w:rFonts w:ascii="Noto Sans" w:hAnsi="Noto Sans" w:cs="Arial"/>
              <w:color w:val="333333"/>
              <w:sz w:val="15"/>
              <w:szCs w:val="15"/>
            </w:rPr>
            <w:t>e-mail: juridico@pmsaposse.sp.gov.br · CEP 13831-024</w:t>
          </w:r>
        </w:p>
        <w:p w14:paraId="2C269DE3" w14:textId="5CB2F812" w:rsidR="004501DB" w:rsidRPr="004501DB" w:rsidRDefault="0058226E" w:rsidP="0058226E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>
            <w:rPr>
              <w:rFonts w:ascii="Noto Sans" w:hAnsi="Noto Sans" w:cs="Arial"/>
              <w:color w:val="333333"/>
              <w:sz w:val="15"/>
              <w:szCs w:val="15"/>
            </w:rPr>
            <w:t>Santo Antonio de Posse/SP</w:t>
          </w:r>
        </w:p>
      </w:tc>
      <w:tc>
        <w:tcPr>
          <w:tcW w:w="1537" w:type="dxa"/>
          <w:shd w:val="clear" w:color="auto" w:fill="auto"/>
        </w:tcPr>
        <w:p w14:paraId="6083D3AC" w14:textId="3B5E5E3D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</w:tr>
  </w:tbl>
  <w:p w14:paraId="3C4B5FC3" w14:textId="77777777" w:rsidR="00475CE8" w:rsidRPr="0058226E" w:rsidRDefault="00475CE8">
    <w:pPr>
      <w:pStyle w:val="Cabealho"/>
    </w:pPr>
  </w:p>
  <w:p w14:paraId="62501D56" w14:textId="77777777" w:rsidR="006464E1" w:rsidRPr="0058226E" w:rsidRDefault="006464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C313A5"/>
    <w:multiLevelType w:val="multilevel"/>
    <w:tmpl w:val="B172E4D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213080E"/>
    <w:multiLevelType w:val="multilevel"/>
    <w:tmpl w:val="6E5E8E76"/>
    <w:lvl w:ilvl="0">
      <w:start w:val="11"/>
      <w:numFmt w:val="decimal"/>
      <w:lvlText w:val="%1"/>
      <w:lvlJc w:val="left"/>
      <w:pPr>
        <w:ind w:left="672" w:hanging="672"/>
      </w:pPr>
      <w:rPr>
        <w:rFonts w:hint="default"/>
        <w:u w:val="thick"/>
      </w:rPr>
    </w:lvl>
    <w:lvl w:ilvl="1">
      <w:start w:val="6"/>
      <w:numFmt w:val="decimal"/>
      <w:lvlText w:val="%1.%2"/>
      <w:lvlJc w:val="left"/>
      <w:pPr>
        <w:ind w:left="870" w:hanging="672"/>
      </w:pPr>
      <w:rPr>
        <w:rFonts w:hint="default"/>
        <w:u w:val="thick"/>
      </w:rPr>
    </w:lvl>
    <w:lvl w:ilvl="2">
      <w:start w:val="3"/>
      <w:numFmt w:val="decimal"/>
      <w:lvlText w:val="%1.%2.%3"/>
      <w:lvlJc w:val="left"/>
      <w:pPr>
        <w:ind w:left="32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674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243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3186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  <w:u w:val="thick"/>
      </w:rPr>
    </w:lvl>
  </w:abstractNum>
  <w:num w:numId="1" w16cid:durableId="1777476708">
    <w:abstractNumId w:val="0"/>
  </w:num>
  <w:num w:numId="2" w16cid:durableId="1164398586">
    <w:abstractNumId w:val="2"/>
  </w:num>
  <w:num w:numId="3" w16cid:durableId="210148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03A83"/>
    <w:rsid w:val="000044D2"/>
    <w:rsid w:val="000115E8"/>
    <w:rsid w:val="0002262B"/>
    <w:rsid w:val="0002298E"/>
    <w:rsid w:val="00026509"/>
    <w:rsid w:val="00030A4B"/>
    <w:rsid w:val="00041FFC"/>
    <w:rsid w:val="00054D7F"/>
    <w:rsid w:val="00062DDB"/>
    <w:rsid w:val="0006579A"/>
    <w:rsid w:val="000657D3"/>
    <w:rsid w:val="00072240"/>
    <w:rsid w:val="00091B3F"/>
    <w:rsid w:val="00093B70"/>
    <w:rsid w:val="000A63F1"/>
    <w:rsid w:val="000B04F2"/>
    <w:rsid w:val="000B71A1"/>
    <w:rsid w:val="000C6D6C"/>
    <w:rsid w:val="000D4F2A"/>
    <w:rsid w:val="000E2B38"/>
    <w:rsid w:val="000E536F"/>
    <w:rsid w:val="000E64FD"/>
    <w:rsid w:val="000F152B"/>
    <w:rsid w:val="00102154"/>
    <w:rsid w:val="00102D81"/>
    <w:rsid w:val="0010519F"/>
    <w:rsid w:val="00117697"/>
    <w:rsid w:val="00125D34"/>
    <w:rsid w:val="00134163"/>
    <w:rsid w:val="0013749F"/>
    <w:rsid w:val="00142978"/>
    <w:rsid w:val="001461C6"/>
    <w:rsid w:val="0015173B"/>
    <w:rsid w:val="00162D07"/>
    <w:rsid w:val="00171ABB"/>
    <w:rsid w:val="001733A5"/>
    <w:rsid w:val="00190C51"/>
    <w:rsid w:val="0019344F"/>
    <w:rsid w:val="001A46CD"/>
    <w:rsid w:val="001C4274"/>
    <w:rsid w:val="001C5167"/>
    <w:rsid w:val="001C5B1E"/>
    <w:rsid w:val="001C63E6"/>
    <w:rsid w:val="001C769B"/>
    <w:rsid w:val="001D3B24"/>
    <w:rsid w:val="001E0BDF"/>
    <w:rsid w:val="002079B3"/>
    <w:rsid w:val="00210332"/>
    <w:rsid w:val="00221FA1"/>
    <w:rsid w:val="00227D1E"/>
    <w:rsid w:val="00237DDD"/>
    <w:rsid w:val="002445EF"/>
    <w:rsid w:val="00253FA3"/>
    <w:rsid w:val="00284C81"/>
    <w:rsid w:val="00293773"/>
    <w:rsid w:val="002B4635"/>
    <w:rsid w:val="002B559B"/>
    <w:rsid w:val="002B6977"/>
    <w:rsid w:val="002D59D1"/>
    <w:rsid w:val="002E5B80"/>
    <w:rsid w:val="00312363"/>
    <w:rsid w:val="003133A2"/>
    <w:rsid w:val="0032173C"/>
    <w:rsid w:val="0032355C"/>
    <w:rsid w:val="00324B5D"/>
    <w:rsid w:val="003320A1"/>
    <w:rsid w:val="003354F8"/>
    <w:rsid w:val="003365C8"/>
    <w:rsid w:val="00341695"/>
    <w:rsid w:val="00343183"/>
    <w:rsid w:val="0034667C"/>
    <w:rsid w:val="003548F4"/>
    <w:rsid w:val="00362182"/>
    <w:rsid w:val="0037498A"/>
    <w:rsid w:val="0038222A"/>
    <w:rsid w:val="00386B16"/>
    <w:rsid w:val="00393FEF"/>
    <w:rsid w:val="00396732"/>
    <w:rsid w:val="00397B05"/>
    <w:rsid w:val="003A0896"/>
    <w:rsid w:val="003A37A9"/>
    <w:rsid w:val="003B261E"/>
    <w:rsid w:val="003B598E"/>
    <w:rsid w:val="003C36AF"/>
    <w:rsid w:val="003D0E3B"/>
    <w:rsid w:val="003D7A3A"/>
    <w:rsid w:val="003E44E4"/>
    <w:rsid w:val="003F0E69"/>
    <w:rsid w:val="003F42BC"/>
    <w:rsid w:val="003F446D"/>
    <w:rsid w:val="00422B06"/>
    <w:rsid w:val="00443B0B"/>
    <w:rsid w:val="004458B1"/>
    <w:rsid w:val="004501DB"/>
    <w:rsid w:val="0045640F"/>
    <w:rsid w:val="00464E40"/>
    <w:rsid w:val="00471155"/>
    <w:rsid w:val="0047546F"/>
    <w:rsid w:val="00475CE8"/>
    <w:rsid w:val="004806C3"/>
    <w:rsid w:val="004833AE"/>
    <w:rsid w:val="00487D0E"/>
    <w:rsid w:val="00492186"/>
    <w:rsid w:val="004929A4"/>
    <w:rsid w:val="004946FC"/>
    <w:rsid w:val="00495D7C"/>
    <w:rsid w:val="0049791C"/>
    <w:rsid w:val="004A469F"/>
    <w:rsid w:val="004B4DA7"/>
    <w:rsid w:val="004D1CD4"/>
    <w:rsid w:val="004E7D1C"/>
    <w:rsid w:val="004F4673"/>
    <w:rsid w:val="004F5E12"/>
    <w:rsid w:val="005009D2"/>
    <w:rsid w:val="005064DB"/>
    <w:rsid w:val="00507CBD"/>
    <w:rsid w:val="005121CA"/>
    <w:rsid w:val="00513361"/>
    <w:rsid w:val="00513C69"/>
    <w:rsid w:val="005224F5"/>
    <w:rsid w:val="00523D14"/>
    <w:rsid w:val="00524908"/>
    <w:rsid w:val="0052560E"/>
    <w:rsid w:val="00544DD2"/>
    <w:rsid w:val="005626CA"/>
    <w:rsid w:val="00566007"/>
    <w:rsid w:val="0057124D"/>
    <w:rsid w:val="00574DB3"/>
    <w:rsid w:val="0058226E"/>
    <w:rsid w:val="00586333"/>
    <w:rsid w:val="005926CD"/>
    <w:rsid w:val="005A2E0A"/>
    <w:rsid w:val="005A77E5"/>
    <w:rsid w:val="005B3928"/>
    <w:rsid w:val="005B4EEC"/>
    <w:rsid w:val="005C26B5"/>
    <w:rsid w:val="005C4123"/>
    <w:rsid w:val="005C4CC4"/>
    <w:rsid w:val="005C6D56"/>
    <w:rsid w:val="005D2F99"/>
    <w:rsid w:val="005D3610"/>
    <w:rsid w:val="005D4B1B"/>
    <w:rsid w:val="005E6DC8"/>
    <w:rsid w:val="005E7E0D"/>
    <w:rsid w:val="005F1BDD"/>
    <w:rsid w:val="005F2A66"/>
    <w:rsid w:val="00602792"/>
    <w:rsid w:val="00613AD6"/>
    <w:rsid w:val="00614C9D"/>
    <w:rsid w:val="00626EAF"/>
    <w:rsid w:val="0062781D"/>
    <w:rsid w:val="006315DF"/>
    <w:rsid w:val="006422AF"/>
    <w:rsid w:val="00645ABA"/>
    <w:rsid w:val="006464E1"/>
    <w:rsid w:val="00660CD2"/>
    <w:rsid w:val="00673D63"/>
    <w:rsid w:val="00673FC6"/>
    <w:rsid w:val="0068463F"/>
    <w:rsid w:val="00685153"/>
    <w:rsid w:val="0069121E"/>
    <w:rsid w:val="00696EBB"/>
    <w:rsid w:val="006A4307"/>
    <w:rsid w:val="006A77E2"/>
    <w:rsid w:val="006C4620"/>
    <w:rsid w:val="007023A2"/>
    <w:rsid w:val="00705A73"/>
    <w:rsid w:val="00731579"/>
    <w:rsid w:val="00746CEE"/>
    <w:rsid w:val="00752D6F"/>
    <w:rsid w:val="00760036"/>
    <w:rsid w:val="0077152A"/>
    <w:rsid w:val="0077375C"/>
    <w:rsid w:val="0078078A"/>
    <w:rsid w:val="007808BF"/>
    <w:rsid w:val="00781A7C"/>
    <w:rsid w:val="0078270D"/>
    <w:rsid w:val="007910DF"/>
    <w:rsid w:val="00792773"/>
    <w:rsid w:val="00792F48"/>
    <w:rsid w:val="00797DC6"/>
    <w:rsid w:val="007B5A81"/>
    <w:rsid w:val="007C194D"/>
    <w:rsid w:val="007C1A31"/>
    <w:rsid w:val="007C5296"/>
    <w:rsid w:val="007D65A4"/>
    <w:rsid w:val="007E49CD"/>
    <w:rsid w:val="007F47A6"/>
    <w:rsid w:val="007F5CD0"/>
    <w:rsid w:val="00801777"/>
    <w:rsid w:val="008019F5"/>
    <w:rsid w:val="00801E21"/>
    <w:rsid w:val="00811B6B"/>
    <w:rsid w:val="00821D2F"/>
    <w:rsid w:val="008226AB"/>
    <w:rsid w:val="00846B15"/>
    <w:rsid w:val="008524C7"/>
    <w:rsid w:val="00863829"/>
    <w:rsid w:val="008714B9"/>
    <w:rsid w:val="008926AC"/>
    <w:rsid w:val="0089693E"/>
    <w:rsid w:val="008A5191"/>
    <w:rsid w:val="008A7F8B"/>
    <w:rsid w:val="008C0E6F"/>
    <w:rsid w:val="008D1AD9"/>
    <w:rsid w:val="008D382C"/>
    <w:rsid w:val="008E6EDB"/>
    <w:rsid w:val="00907625"/>
    <w:rsid w:val="009227A0"/>
    <w:rsid w:val="009439DC"/>
    <w:rsid w:val="00946B05"/>
    <w:rsid w:val="0095419A"/>
    <w:rsid w:val="009619D8"/>
    <w:rsid w:val="009629F4"/>
    <w:rsid w:val="00964E78"/>
    <w:rsid w:val="00967727"/>
    <w:rsid w:val="00973D0D"/>
    <w:rsid w:val="00974C75"/>
    <w:rsid w:val="00982552"/>
    <w:rsid w:val="009B26D0"/>
    <w:rsid w:val="009B3B60"/>
    <w:rsid w:val="009C6231"/>
    <w:rsid w:val="00A0478C"/>
    <w:rsid w:val="00A07BC2"/>
    <w:rsid w:val="00A17D8B"/>
    <w:rsid w:val="00A212B3"/>
    <w:rsid w:val="00A22359"/>
    <w:rsid w:val="00A22521"/>
    <w:rsid w:val="00A31C74"/>
    <w:rsid w:val="00A35378"/>
    <w:rsid w:val="00A4501E"/>
    <w:rsid w:val="00A46B53"/>
    <w:rsid w:val="00A46CE1"/>
    <w:rsid w:val="00A508CE"/>
    <w:rsid w:val="00A515BF"/>
    <w:rsid w:val="00A63CAC"/>
    <w:rsid w:val="00A70717"/>
    <w:rsid w:val="00A817D6"/>
    <w:rsid w:val="00A91949"/>
    <w:rsid w:val="00A95BB0"/>
    <w:rsid w:val="00AA473E"/>
    <w:rsid w:val="00AB23F2"/>
    <w:rsid w:val="00AC750C"/>
    <w:rsid w:val="00AD5161"/>
    <w:rsid w:val="00AD5755"/>
    <w:rsid w:val="00AE378E"/>
    <w:rsid w:val="00AE51DA"/>
    <w:rsid w:val="00AE595F"/>
    <w:rsid w:val="00AF4C3E"/>
    <w:rsid w:val="00AF6F56"/>
    <w:rsid w:val="00B10853"/>
    <w:rsid w:val="00B45147"/>
    <w:rsid w:val="00B4543E"/>
    <w:rsid w:val="00B54305"/>
    <w:rsid w:val="00B64846"/>
    <w:rsid w:val="00B708CF"/>
    <w:rsid w:val="00B8024C"/>
    <w:rsid w:val="00B87E37"/>
    <w:rsid w:val="00B94638"/>
    <w:rsid w:val="00B958B4"/>
    <w:rsid w:val="00BA05BC"/>
    <w:rsid w:val="00BA3DF9"/>
    <w:rsid w:val="00BA4D74"/>
    <w:rsid w:val="00BB25BC"/>
    <w:rsid w:val="00BB4CB7"/>
    <w:rsid w:val="00BC0261"/>
    <w:rsid w:val="00BF558D"/>
    <w:rsid w:val="00C1226A"/>
    <w:rsid w:val="00C13DE1"/>
    <w:rsid w:val="00C1600C"/>
    <w:rsid w:val="00C21DA7"/>
    <w:rsid w:val="00C34300"/>
    <w:rsid w:val="00C43CB7"/>
    <w:rsid w:val="00C50D35"/>
    <w:rsid w:val="00C65516"/>
    <w:rsid w:val="00C74545"/>
    <w:rsid w:val="00C8539B"/>
    <w:rsid w:val="00C902AF"/>
    <w:rsid w:val="00CB1656"/>
    <w:rsid w:val="00CC2A88"/>
    <w:rsid w:val="00CE6091"/>
    <w:rsid w:val="00CF2A2B"/>
    <w:rsid w:val="00CF6235"/>
    <w:rsid w:val="00D01782"/>
    <w:rsid w:val="00D03789"/>
    <w:rsid w:val="00D1054E"/>
    <w:rsid w:val="00D17C70"/>
    <w:rsid w:val="00D2627D"/>
    <w:rsid w:val="00D31B69"/>
    <w:rsid w:val="00D36FBE"/>
    <w:rsid w:val="00D4118A"/>
    <w:rsid w:val="00D52AE5"/>
    <w:rsid w:val="00D53452"/>
    <w:rsid w:val="00D60DFD"/>
    <w:rsid w:val="00D65870"/>
    <w:rsid w:val="00DA0EF9"/>
    <w:rsid w:val="00DA1D7C"/>
    <w:rsid w:val="00DA20C5"/>
    <w:rsid w:val="00DB01B3"/>
    <w:rsid w:val="00DB4793"/>
    <w:rsid w:val="00DB7C64"/>
    <w:rsid w:val="00DD4BCB"/>
    <w:rsid w:val="00DE6330"/>
    <w:rsid w:val="00DF0EE0"/>
    <w:rsid w:val="00DF270C"/>
    <w:rsid w:val="00E05E87"/>
    <w:rsid w:val="00E1041A"/>
    <w:rsid w:val="00E27FA2"/>
    <w:rsid w:val="00E3092A"/>
    <w:rsid w:val="00E33753"/>
    <w:rsid w:val="00E339BC"/>
    <w:rsid w:val="00E342B4"/>
    <w:rsid w:val="00E52C21"/>
    <w:rsid w:val="00E572F4"/>
    <w:rsid w:val="00E71506"/>
    <w:rsid w:val="00E73379"/>
    <w:rsid w:val="00E815A3"/>
    <w:rsid w:val="00E87DA7"/>
    <w:rsid w:val="00E9214F"/>
    <w:rsid w:val="00E954BE"/>
    <w:rsid w:val="00E97116"/>
    <w:rsid w:val="00EA6F46"/>
    <w:rsid w:val="00EB0394"/>
    <w:rsid w:val="00EB153C"/>
    <w:rsid w:val="00EB3CA1"/>
    <w:rsid w:val="00EB5D07"/>
    <w:rsid w:val="00EB67E3"/>
    <w:rsid w:val="00EC72A8"/>
    <w:rsid w:val="00EE31A1"/>
    <w:rsid w:val="00EF3F93"/>
    <w:rsid w:val="00EF771D"/>
    <w:rsid w:val="00F2385C"/>
    <w:rsid w:val="00F25157"/>
    <w:rsid w:val="00F41398"/>
    <w:rsid w:val="00F609F9"/>
    <w:rsid w:val="00F70A19"/>
    <w:rsid w:val="00F71F4F"/>
    <w:rsid w:val="00F75BED"/>
    <w:rsid w:val="00F83034"/>
    <w:rsid w:val="00F876BD"/>
    <w:rsid w:val="00F91F35"/>
    <w:rsid w:val="00F92721"/>
    <w:rsid w:val="00F93AF1"/>
    <w:rsid w:val="00F961A9"/>
    <w:rsid w:val="00FA2DD1"/>
    <w:rsid w:val="00FA5718"/>
    <w:rsid w:val="00FB0CAA"/>
    <w:rsid w:val="00FB2920"/>
    <w:rsid w:val="00FC23C9"/>
    <w:rsid w:val="00FC2E03"/>
    <w:rsid w:val="00FC6724"/>
    <w:rsid w:val="00FD1395"/>
    <w:rsid w:val="00FF0467"/>
    <w:rsid w:val="00FF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27A96C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711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D6587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587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711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47115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71155"/>
    <w:pPr>
      <w:widowControl w:val="0"/>
      <w:autoSpaceDE w:val="0"/>
      <w:autoSpaceDN w:val="0"/>
      <w:ind w:left="1105" w:hanging="708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PargrafodaListaChar">
    <w:name w:val="Parágrafo da Lista Char"/>
    <w:link w:val="PargrafodaLista"/>
    <w:uiPriority w:val="34"/>
    <w:qFormat/>
    <w:rsid w:val="00471155"/>
    <w:rPr>
      <w:rFonts w:ascii="Arial" w:eastAsia="Arial" w:hAnsi="Arial" w:cs="Arial"/>
      <w:lang w:val="pt-PT" w:eastAsia="pt-PT" w:bidi="pt-PT"/>
    </w:rPr>
  </w:style>
  <w:style w:type="paragraph" w:customStyle="1" w:styleId="Normal1">
    <w:name w:val="Normal1"/>
    <w:basedOn w:val="Normal"/>
    <w:rsid w:val="00A212B3"/>
    <w:pPr>
      <w:widowControl w:val="0"/>
      <w:suppressAutoHyphens/>
    </w:pPr>
    <w:rPr>
      <w:sz w:val="24"/>
      <w:lang w:val="pt-PT"/>
    </w:rPr>
  </w:style>
  <w:style w:type="character" w:styleId="nfase">
    <w:name w:val="Emphasis"/>
    <w:basedOn w:val="Fontepargpadro"/>
    <w:uiPriority w:val="20"/>
    <w:qFormat/>
    <w:rsid w:val="00A17D8B"/>
    <w:rPr>
      <w:i/>
      <w:iCs/>
    </w:rPr>
  </w:style>
  <w:style w:type="paragraph" w:customStyle="1" w:styleId="Recuodecorpodetexto21">
    <w:name w:val="Recuo de corpo de texto 21"/>
    <w:basedOn w:val="Normal"/>
    <w:rsid w:val="00E9214F"/>
    <w:pPr>
      <w:suppressAutoHyphens/>
      <w:ind w:left="851"/>
      <w:jc w:val="both"/>
    </w:pPr>
    <w:rPr>
      <w:rFonts w:ascii="Arial" w:hAnsi="Arial" w:cs="Arial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7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5640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52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E5AE2-6DF7-4BB1-87A1-C1CD964A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Xerografia02</cp:lastModifiedBy>
  <cp:revision>2</cp:revision>
  <cp:lastPrinted>2024-04-09T17:02:00Z</cp:lastPrinted>
  <dcterms:created xsi:type="dcterms:W3CDTF">2024-04-09T17:02:00Z</dcterms:created>
  <dcterms:modified xsi:type="dcterms:W3CDTF">2024-04-09T17:02:00Z</dcterms:modified>
</cp:coreProperties>
</file>