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F2C08" w14:paraId="64992744" w14:textId="77777777" w:rsidTr="001812BF">
        <w:trPr>
          <w:jc w:val="center"/>
        </w:trPr>
        <w:tc>
          <w:tcPr>
            <w:tcW w:w="4536" w:type="dxa"/>
          </w:tcPr>
          <w:p w14:paraId="3B3E6AEF" w14:textId="77777777" w:rsidR="003F2C08" w:rsidRDefault="003F2C08" w:rsidP="001812BF"/>
        </w:tc>
      </w:tr>
    </w:tbl>
    <w:p w14:paraId="2F5E85C5" w14:textId="77777777" w:rsidR="001812BF" w:rsidRPr="001812BF" w:rsidRDefault="001812BF" w:rsidP="001812BF">
      <w:pPr>
        <w:jc w:val="center"/>
        <w:rPr>
          <w:b/>
          <w:bCs/>
          <w:u w:val="single"/>
        </w:rPr>
      </w:pPr>
      <w:r w:rsidRPr="001812BF">
        <w:rPr>
          <w:b/>
          <w:bCs/>
          <w:u w:val="single"/>
        </w:rPr>
        <w:t>TERMO DE REFERÊNCIA</w:t>
      </w:r>
    </w:p>
    <w:p w14:paraId="583EA7CA" w14:textId="77777777" w:rsidR="001812BF" w:rsidRPr="002F5927" w:rsidRDefault="001812BF" w:rsidP="001812BF">
      <w:pPr>
        <w:jc w:val="both"/>
        <w:rPr>
          <w:b/>
          <w:bCs/>
        </w:rPr>
      </w:pPr>
    </w:p>
    <w:p w14:paraId="76B7C653" w14:textId="77777777" w:rsidR="001812BF" w:rsidRPr="002F5927" w:rsidRDefault="001812BF" w:rsidP="001812BF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2F5927">
        <w:rPr>
          <w:b/>
          <w:bCs/>
        </w:rPr>
        <w:t>DO OBJETO:</w:t>
      </w:r>
    </w:p>
    <w:p w14:paraId="0340451C" w14:textId="77777777" w:rsidR="001812BF" w:rsidRDefault="001812BF" w:rsidP="001812BF">
      <w:pPr>
        <w:jc w:val="both"/>
      </w:pPr>
      <w:r>
        <w:t>O OBJETO DESTA LICITAÇÃO CONSISTE NO REGISTRO DE PREÇOS VISANDO A AQUISIÇÃO DE PRODUTOS QUÍMICOS PARA SEREM UTILIZADOS PELO DAE NO TRATAMENTO DE ÁGUA E ESGOTO.</w:t>
      </w:r>
    </w:p>
    <w:p w14:paraId="53A7E676" w14:textId="77777777" w:rsidR="001812BF" w:rsidRDefault="001812BF" w:rsidP="001812BF">
      <w:pPr>
        <w:jc w:val="both"/>
      </w:pPr>
    </w:p>
    <w:p w14:paraId="6B412BE9" w14:textId="77777777" w:rsidR="001812BF" w:rsidRPr="002F5927" w:rsidRDefault="001812BF" w:rsidP="001812BF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2F5927">
        <w:rPr>
          <w:b/>
          <w:bCs/>
        </w:rPr>
        <w:t xml:space="preserve">DA JUSTIFICATIVA: </w:t>
      </w:r>
    </w:p>
    <w:p w14:paraId="3E3E81D4" w14:textId="77777777" w:rsidR="001812BF" w:rsidRDefault="001812BF" w:rsidP="001812BF">
      <w:pPr>
        <w:jc w:val="both"/>
      </w:pPr>
      <w:r>
        <w:t>O DAE é responsável por toda a distribuição de água e tratamento de esgoto no município, considerando que os recursos hídricos são condição essencial da vida de todo ser humano e o acesso à água está intimamente relacionado ao direito fundamental do homem, sendo o DAE responsável por este serviço, prezando por sua qualidade e continuidade.</w:t>
      </w:r>
    </w:p>
    <w:p w14:paraId="7F078957" w14:textId="77777777" w:rsidR="001812BF" w:rsidRDefault="001812BF" w:rsidP="001812BF">
      <w:pPr>
        <w:jc w:val="both"/>
      </w:pPr>
      <w:r>
        <w:t xml:space="preserve">Levando em consideração a demanda cíclica de utilização dos produtos químicos em questão e ao mesmo tempo a necessidade de controle e racionalização do gasto público, o Registro de Preços apresenta-se como ferramenta comprovadamente eficiente na busca por melhores preços, mantendo-os registrados para uma futura e eventual contratação conforme a necessidade e disponibilidade de recursos orçamentários. </w:t>
      </w:r>
    </w:p>
    <w:p w14:paraId="5F2CBAF3" w14:textId="6DFAA142" w:rsidR="001812BF" w:rsidRDefault="001812BF" w:rsidP="001812BF">
      <w:pPr>
        <w:jc w:val="both"/>
      </w:pPr>
      <w:r>
        <w:t>Ademais, tendo em vista a impossibilidade de precisar o quantitativo a ser demandado pela administração, bem como a conveniência de que as entregas sejam feitas de forma parcelada, o Sistema de Registro de Preços demonstra-se a opção mais viável ao procedimento licitatório.</w:t>
      </w:r>
    </w:p>
    <w:p w14:paraId="430947EE" w14:textId="6824A0FE" w:rsidR="00111B49" w:rsidRDefault="00111B49" w:rsidP="001812BF">
      <w:pPr>
        <w:jc w:val="both"/>
      </w:pPr>
      <w:r>
        <w:t>Tendo em vista o aumento do número de ligações de água efetuadas no município, que no ano de 2020 foram 200 ligações novas, foram entregues dois novos loteamentos com duas caixas d´água, uma com um milhão de litros de água e outra com cem mil litros</w:t>
      </w:r>
      <w:r w:rsidR="00480767">
        <w:t>, aumentando assim consideravelmente o volume de captação e tratamento.</w:t>
      </w:r>
      <w:r>
        <w:t xml:space="preserve"> </w:t>
      </w:r>
    </w:p>
    <w:p w14:paraId="520CEF4B" w14:textId="77777777" w:rsidR="001812BF" w:rsidRPr="002F5927" w:rsidRDefault="001812BF" w:rsidP="001812BF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2F5927">
        <w:rPr>
          <w:b/>
          <w:bCs/>
        </w:rPr>
        <w:t xml:space="preserve">DOS ITENS: </w:t>
      </w:r>
    </w:p>
    <w:tbl>
      <w:tblPr>
        <w:tblStyle w:val="Tabelacomgrade"/>
        <w:tblW w:w="8557" w:type="dxa"/>
        <w:tblLayout w:type="fixed"/>
        <w:tblLook w:val="04A0" w:firstRow="1" w:lastRow="0" w:firstColumn="1" w:lastColumn="0" w:noHBand="0" w:noVBand="1"/>
      </w:tblPr>
      <w:tblGrid>
        <w:gridCol w:w="803"/>
        <w:gridCol w:w="1417"/>
        <w:gridCol w:w="4721"/>
        <w:gridCol w:w="867"/>
        <w:gridCol w:w="749"/>
      </w:tblGrid>
      <w:tr w:rsidR="001812BF" w14:paraId="4DDE8513" w14:textId="77777777" w:rsidTr="00A523E3">
        <w:tc>
          <w:tcPr>
            <w:tcW w:w="803" w:type="dxa"/>
          </w:tcPr>
          <w:p w14:paraId="5544E31E" w14:textId="77777777" w:rsidR="001812BF" w:rsidRDefault="001812BF" w:rsidP="001812BF">
            <w:pPr>
              <w:jc w:val="both"/>
            </w:pPr>
            <w:r>
              <w:t>ITEM</w:t>
            </w:r>
          </w:p>
        </w:tc>
        <w:tc>
          <w:tcPr>
            <w:tcW w:w="1417" w:type="dxa"/>
          </w:tcPr>
          <w:p w14:paraId="4EC9CBB1" w14:textId="77777777" w:rsidR="001812BF" w:rsidRDefault="001812BF" w:rsidP="001812BF">
            <w:pPr>
              <w:jc w:val="both"/>
            </w:pPr>
            <w:r>
              <w:t>CÓDIGO</w:t>
            </w:r>
          </w:p>
        </w:tc>
        <w:tc>
          <w:tcPr>
            <w:tcW w:w="4721" w:type="dxa"/>
          </w:tcPr>
          <w:p w14:paraId="2E981E51" w14:textId="77777777" w:rsidR="001812BF" w:rsidRDefault="001812BF" w:rsidP="001812BF">
            <w:pPr>
              <w:jc w:val="both"/>
            </w:pPr>
            <w:r>
              <w:t>DESCRIÇÃO</w:t>
            </w:r>
          </w:p>
        </w:tc>
        <w:tc>
          <w:tcPr>
            <w:tcW w:w="867" w:type="dxa"/>
          </w:tcPr>
          <w:p w14:paraId="1CCFDB2D" w14:textId="365B75F2" w:rsidR="001812BF" w:rsidRDefault="001812BF" w:rsidP="001812BF">
            <w:pPr>
              <w:jc w:val="both"/>
            </w:pPr>
            <w:r>
              <w:t>UNID</w:t>
            </w:r>
          </w:p>
        </w:tc>
        <w:tc>
          <w:tcPr>
            <w:tcW w:w="749" w:type="dxa"/>
          </w:tcPr>
          <w:p w14:paraId="6D180757" w14:textId="77777777" w:rsidR="001812BF" w:rsidRDefault="001812BF" w:rsidP="001812BF">
            <w:pPr>
              <w:jc w:val="both"/>
            </w:pPr>
            <w:r>
              <w:t>QTD</w:t>
            </w:r>
          </w:p>
        </w:tc>
      </w:tr>
      <w:tr w:rsidR="001812BF" w14:paraId="346362EF" w14:textId="77777777" w:rsidTr="00A523E3">
        <w:tc>
          <w:tcPr>
            <w:tcW w:w="803" w:type="dxa"/>
          </w:tcPr>
          <w:p w14:paraId="6CA3F61A" w14:textId="77777777" w:rsidR="001812BF" w:rsidRDefault="001812BF" w:rsidP="001812BF">
            <w:pPr>
              <w:jc w:val="both"/>
            </w:pPr>
            <w:r>
              <w:t>1</w:t>
            </w:r>
          </w:p>
        </w:tc>
        <w:tc>
          <w:tcPr>
            <w:tcW w:w="1417" w:type="dxa"/>
          </w:tcPr>
          <w:p w14:paraId="6925393B" w14:textId="77777777" w:rsidR="001812BF" w:rsidRDefault="001812BF" w:rsidP="001812BF">
            <w:pPr>
              <w:jc w:val="both"/>
            </w:pPr>
            <w:r>
              <w:t>014.001.004</w:t>
            </w:r>
          </w:p>
        </w:tc>
        <w:tc>
          <w:tcPr>
            <w:tcW w:w="4721" w:type="dxa"/>
          </w:tcPr>
          <w:p w14:paraId="3D53165D" w14:textId="15238D9A" w:rsidR="001812BF" w:rsidRDefault="001812BF" w:rsidP="009179AB">
            <w:r>
              <w:t>ACIDO FLUORSILI</w:t>
            </w:r>
            <w:r w:rsidR="00BB258F">
              <w:t>CI</w:t>
            </w:r>
            <w:r>
              <w:t>CO</w:t>
            </w:r>
          </w:p>
          <w:p w14:paraId="54117AF4" w14:textId="0F30AD32" w:rsidR="009179AB" w:rsidRDefault="009179AB" w:rsidP="009179AB">
            <w:r>
              <w:t>DESCRIÇÃO TÉCNICA: ÁCIDO FLUORSÍLICO COM TEOR</w:t>
            </w:r>
            <w:r w:rsidR="00BB258F">
              <w:t xml:space="preserve"> </w:t>
            </w:r>
            <w:r>
              <w:t>&gt;</w:t>
            </w:r>
            <w:r w:rsidR="00BB258F">
              <w:t xml:space="preserve"> </w:t>
            </w:r>
            <w:r>
              <w:t>22%</w:t>
            </w:r>
          </w:p>
        </w:tc>
        <w:tc>
          <w:tcPr>
            <w:tcW w:w="867" w:type="dxa"/>
          </w:tcPr>
          <w:p w14:paraId="3DA6B968" w14:textId="60411DE4" w:rsidR="001812BF" w:rsidRDefault="001812BF" w:rsidP="001812BF">
            <w:pPr>
              <w:jc w:val="both"/>
            </w:pPr>
            <w:r>
              <w:t>T</w:t>
            </w:r>
            <w:r w:rsidR="00480767">
              <w:t>O</w:t>
            </w:r>
          </w:p>
        </w:tc>
        <w:tc>
          <w:tcPr>
            <w:tcW w:w="749" w:type="dxa"/>
          </w:tcPr>
          <w:p w14:paraId="4023B1A8" w14:textId="3D05B908" w:rsidR="001812BF" w:rsidRDefault="009260BB" w:rsidP="001812BF">
            <w:pPr>
              <w:jc w:val="both"/>
            </w:pPr>
            <w:r>
              <w:t>40</w:t>
            </w:r>
          </w:p>
        </w:tc>
      </w:tr>
      <w:tr w:rsidR="001812BF" w14:paraId="67D14811" w14:textId="77777777" w:rsidTr="00A523E3">
        <w:tc>
          <w:tcPr>
            <w:tcW w:w="803" w:type="dxa"/>
          </w:tcPr>
          <w:p w14:paraId="63D729B0" w14:textId="77777777" w:rsidR="001812BF" w:rsidRDefault="001812BF" w:rsidP="001812BF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14:paraId="50672DFC" w14:textId="77777777" w:rsidR="001812BF" w:rsidRDefault="001812BF" w:rsidP="001812BF">
            <w:pPr>
              <w:jc w:val="both"/>
            </w:pPr>
            <w:r>
              <w:t>014.001.012</w:t>
            </w:r>
          </w:p>
        </w:tc>
        <w:tc>
          <w:tcPr>
            <w:tcW w:w="4721" w:type="dxa"/>
          </w:tcPr>
          <w:p w14:paraId="78E1456E" w14:textId="77777777" w:rsidR="001812BF" w:rsidRDefault="001812BF" w:rsidP="009179AB">
            <w:r>
              <w:t>CAL HIDRATADA</w:t>
            </w:r>
          </w:p>
          <w:p w14:paraId="5269A3BE" w14:textId="77777777" w:rsidR="009179AB" w:rsidRDefault="009179AB" w:rsidP="009179AB">
            <w:r>
              <w:t>DESCRIÇÃO TÉCNICA: CAL HIDRATADA, CAO MIN 69% MAX 71,5%, CA(OH)2 MIN 91% MAX 93,5%, 100 MESH 1,4% RETIDO, 98,6% PASSANTE, 200 MESH 3,05% RETIDO 96,95% PASSANTE.</w:t>
            </w:r>
          </w:p>
          <w:p w14:paraId="215C0FB7" w14:textId="0FFC0572" w:rsidR="00BB258F" w:rsidRDefault="00BB258F" w:rsidP="009179AB"/>
        </w:tc>
        <w:tc>
          <w:tcPr>
            <w:tcW w:w="867" w:type="dxa"/>
          </w:tcPr>
          <w:p w14:paraId="63D399EC" w14:textId="3D24AA11" w:rsidR="001812BF" w:rsidRDefault="001812BF" w:rsidP="001812BF">
            <w:pPr>
              <w:jc w:val="both"/>
            </w:pPr>
            <w:r>
              <w:t>T</w:t>
            </w:r>
            <w:r w:rsidR="00480767">
              <w:t>O</w:t>
            </w:r>
          </w:p>
        </w:tc>
        <w:tc>
          <w:tcPr>
            <w:tcW w:w="749" w:type="dxa"/>
          </w:tcPr>
          <w:p w14:paraId="47C4E6A6" w14:textId="7EEAB42E" w:rsidR="001812BF" w:rsidRDefault="009260BB" w:rsidP="001812BF">
            <w:pPr>
              <w:jc w:val="both"/>
            </w:pPr>
            <w:r>
              <w:t>200</w:t>
            </w:r>
          </w:p>
        </w:tc>
      </w:tr>
      <w:tr w:rsidR="001812BF" w14:paraId="444BCD98" w14:textId="77777777" w:rsidTr="00A523E3">
        <w:tc>
          <w:tcPr>
            <w:tcW w:w="803" w:type="dxa"/>
          </w:tcPr>
          <w:p w14:paraId="62C6A53E" w14:textId="77777777" w:rsidR="001812BF" w:rsidRDefault="001812BF" w:rsidP="001812BF">
            <w:pPr>
              <w:jc w:val="both"/>
            </w:pPr>
            <w:r>
              <w:lastRenderedPageBreak/>
              <w:t>3</w:t>
            </w:r>
          </w:p>
        </w:tc>
        <w:tc>
          <w:tcPr>
            <w:tcW w:w="1417" w:type="dxa"/>
          </w:tcPr>
          <w:p w14:paraId="79BE1908" w14:textId="77777777" w:rsidR="001812BF" w:rsidRDefault="001812BF" w:rsidP="001812BF">
            <w:pPr>
              <w:jc w:val="both"/>
            </w:pPr>
            <w:r>
              <w:t>014.001.018</w:t>
            </w:r>
          </w:p>
        </w:tc>
        <w:tc>
          <w:tcPr>
            <w:tcW w:w="4721" w:type="dxa"/>
          </w:tcPr>
          <w:p w14:paraId="7A96DD25" w14:textId="77777777" w:rsidR="001812BF" w:rsidRDefault="001812BF" w:rsidP="009179AB">
            <w:r>
              <w:t>HIPOCLORIDRICO DE SÓDIO</w:t>
            </w:r>
          </w:p>
          <w:p w14:paraId="0CD33C20" w14:textId="21FEF320" w:rsidR="009179AB" w:rsidRDefault="009179AB" w:rsidP="009179AB">
            <w:r>
              <w:t>DESCRIÇÃO TÉCNICA: HIPOCLORITO DE SÓDIO</w:t>
            </w:r>
            <w:r w:rsidR="00BB258F">
              <w:t>,</w:t>
            </w:r>
            <w:r>
              <w:t xml:space="preserve"> COM A CONCENTRAÇÃO (CLORO ATIVO) = </w:t>
            </w:r>
            <w:r w:rsidR="00BB258F">
              <w:t xml:space="preserve">A </w:t>
            </w:r>
            <w:r>
              <w:t>12%, CONCENTRAÇÃO (NACLO) = A 11% DENSIDADE A 20 C=1,80 G/CM3, CLORO TOTAL = 122 G/L, ALCALINIDADE RESIDUAL (NAOH) ENTRE 5,00 G/L 10,0 G/L</w:t>
            </w:r>
          </w:p>
        </w:tc>
        <w:tc>
          <w:tcPr>
            <w:tcW w:w="867" w:type="dxa"/>
          </w:tcPr>
          <w:p w14:paraId="1EB6409D" w14:textId="429D19C7" w:rsidR="001812BF" w:rsidRDefault="001812BF" w:rsidP="001812BF">
            <w:pPr>
              <w:jc w:val="both"/>
            </w:pPr>
            <w:r>
              <w:t>T</w:t>
            </w:r>
            <w:r w:rsidR="00480767">
              <w:t>O</w:t>
            </w:r>
          </w:p>
        </w:tc>
        <w:tc>
          <w:tcPr>
            <w:tcW w:w="749" w:type="dxa"/>
          </w:tcPr>
          <w:p w14:paraId="50D98839" w14:textId="445E2E31" w:rsidR="001812BF" w:rsidRDefault="009260BB" w:rsidP="001812BF">
            <w:pPr>
              <w:jc w:val="both"/>
            </w:pPr>
            <w:r>
              <w:t>450</w:t>
            </w:r>
          </w:p>
        </w:tc>
      </w:tr>
      <w:tr w:rsidR="001812BF" w14:paraId="7D4A4414" w14:textId="77777777" w:rsidTr="00A523E3">
        <w:tc>
          <w:tcPr>
            <w:tcW w:w="803" w:type="dxa"/>
          </w:tcPr>
          <w:p w14:paraId="2B1B26B9" w14:textId="77777777" w:rsidR="001812BF" w:rsidRDefault="001812BF" w:rsidP="001812BF">
            <w:pPr>
              <w:jc w:val="both"/>
            </w:pPr>
            <w:r>
              <w:t>4</w:t>
            </w:r>
          </w:p>
        </w:tc>
        <w:tc>
          <w:tcPr>
            <w:tcW w:w="1417" w:type="dxa"/>
          </w:tcPr>
          <w:p w14:paraId="4BA94D44" w14:textId="77777777" w:rsidR="001812BF" w:rsidRDefault="001812BF" w:rsidP="001812BF">
            <w:pPr>
              <w:jc w:val="both"/>
            </w:pPr>
            <w:r>
              <w:t>014.001.003</w:t>
            </w:r>
          </w:p>
        </w:tc>
        <w:tc>
          <w:tcPr>
            <w:tcW w:w="4721" w:type="dxa"/>
          </w:tcPr>
          <w:p w14:paraId="19DD0426" w14:textId="77777777" w:rsidR="001812BF" w:rsidRDefault="001812BF" w:rsidP="00A523E3">
            <w:r>
              <w:t>SULFATO DE ALUMÍNIO</w:t>
            </w:r>
          </w:p>
          <w:p w14:paraId="3905FD2D" w14:textId="4CCF8D4B" w:rsidR="009179AB" w:rsidRDefault="009179AB" w:rsidP="00A523E3">
            <w:r>
              <w:t>DESCRIÇÃO TÉCNICA: SULFATO DE ALUMÍNIO ISENTO DE FERRO L</w:t>
            </w:r>
            <w:r w:rsidR="00A523E3">
              <w:t>Í</w:t>
            </w:r>
            <w:r>
              <w:t xml:space="preserve">QUIDO, DENSIDADE À 20ºC (G/CM³) – MIN 1,310, ACIDEZ LIVRE (% EM MASSA COMO H2S04) – MAX 0,50, BASICIDADE LIVRE (% EM MASSA COMO AL2O3) – MAX 0,40, RESÍDUO INSOLÚVEL EM ÁGUA (% EM MASSA) – MAX 0,20, PH SOLUÇÃO À 10% (M/V) MAX 4,00, </w:t>
            </w:r>
            <w:r w:rsidR="00A523E3">
              <w:t>ÓXIDO DE FERRO (% EM MASSA COMO FE2O3) – MAX 0,08, ÓXIDO DE ALUMÍNIO (% EM MASSA COMO AL2O3) MIN 8,00</w:t>
            </w:r>
          </w:p>
        </w:tc>
        <w:tc>
          <w:tcPr>
            <w:tcW w:w="867" w:type="dxa"/>
          </w:tcPr>
          <w:p w14:paraId="35CE6829" w14:textId="1FF2CBB3" w:rsidR="001812BF" w:rsidRDefault="001812BF" w:rsidP="001812BF">
            <w:pPr>
              <w:jc w:val="both"/>
            </w:pPr>
            <w:r>
              <w:t>T</w:t>
            </w:r>
            <w:r w:rsidR="00480767">
              <w:t>O</w:t>
            </w:r>
          </w:p>
        </w:tc>
        <w:tc>
          <w:tcPr>
            <w:tcW w:w="749" w:type="dxa"/>
          </w:tcPr>
          <w:p w14:paraId="4A7ECB4E" w14:textId="51C8CC3C" w:rsidR="001812BF" w:rsidRDefault="009260BB" w:rsidP="001812BF">
            <w:pPr>
              <w:jc w:val="both"/>
            </w:pPr>
            <w:r>
              <w:t>620</w:t>
            </w:r>
          </w:p>
        </w:tc>
      </w:tr>
      <w:tr w:rsidR="001812BF" w14:paraId="7FA861DF" w14:textId="77777777" w:rsidTr="00A523E3">
        <w:tc>
          <w:tcPr>
            <w:tcW w:w="803" w:type="dxa"/>
          </w:tcPr>
          <w:p w14:paraId="25229DD1" w14:textId="77777777" w:rsidR="001812BF" w:rsidRDefault="001812BF" w:rsidP="001812BF">
            <w:pPr>
              <w:jc w:val="both"/>
            </w:pPr>
            <w:r>
              <w:t>5</w:t>
            </w:r>
          </w:p>
        </w:tc>
        <w:tc>
          <w:tcPr>
            <w:tcW w:w="1417" w:type="dxa"/>
          </w:tcPr>
          <w:p w14:paraId="3C0D19CB" w14:textId="77777777" w:rsidR="001812BF" w:rsidRDefault="001812BF" w:rsidP="001812BF">
            <w:pPr>
              <w:jc w:val="both"/>
            </w:pPr>
            <w:r>
              <w:t>014.001.011</w:t>
            </w:r>
          </w:p>
        </w:tc>
        <w:tc>
          <w:tcPr>
            <w:tcW w:w="4721" w:type="dxa"/>
          </w:tcPr>
          <w:p w14:paraId="696E893C" w14:textId="77777777" w:rsidR="001812BF" w:rsidRDefault="001812BF" w:rsidP="00A523E3">
            <w:r>
              <w:t>POLÍMERO NÃO IÔNICO</w:t>
            </w:r>
          </w:p>
          <w:p w14:paraId="5DA3436E" w14:textId="6A6A8614" w:rsidR="00A523E3" w:rsidRDefault="00A523E3" w:rsidP="00A523E3">
            <w:r>
              <w:t xml:space="preserve">DESCRIÇÃO TÉCNICA: POLÍMERO NÃO IÔNICO, DENSIDADE 20ºC, 1,00 </w:t>
            </w:r>
            <w:proofErr w:type="gramStart"/>
            <w:r>
              <w:t>À</w:t>
            </w:r>
            <w:proofErr w:type="gramEnd"/>
            <w:r>
              <w:t xml:space="preserve"> 1,00 MG/L, VISCOSIDADE BROKFIELD 100 A 500 CPS 53/60 RPM/25ºC</w:t>
            </w:r>
          </w:p>
        </w:tc>
        <w:tc>
          <w:tcPr>
            <w:tcW w:w="867" w:type="dxa"/>
          </w:tcPr>
          <w:p w14:paraId="5B5EC620" w14:textId="77777777" w:rsidR="001812BF" w:rsidRDefault="001812BF" w:rsidP="001812BF">
            <w:pPr>
              <w:jc w:val="both"/>
            </w:pPr>
            <w:r>
              <w:t>KG</w:t>
            </w:r>
          </w:p>
        </w:tc>
        <w:tc>
          <w:tcPr>
            <w:tcW w:w="749" w:type="dxa"/>
          </w:tcPr>
          <w:p w14:paraId="5DE39A6E" w14:textId="5D39383C" w:rsidR="001812BF" w:rsidRDefault="001812BF" w:rsidP="001812BF">
            <w:pPr>
              <w:jc w:val="both"/>
            </w:pPr>
            <w:r>
              <w:t>1</w:t>
            </w:r>
            <w:r w:rsidR="009260BB">
              <w:t>0</w:t>
            </w:r>
            <w:r>
              <w:t>00</w:t>
            </w:r>
          </w:p>
        </w:tc>
      </w:tr>
      <w:tr w:rsidR="001812BF" w14:paraId="67DCCFF4" w14:textId="77777777" w:rsidTr="00A523E3">
        <w:tc>
          <w:tcPr>
            <w:tcW w:w="803" w:type="dxa"/>
          </w:tcPr>
          <w:p w14:paraId="79BFA823" w14:textId="77777777" w:rsidR="001812BF" w:rsidRDefault="001812BF" w:rsidP="001812BF">
            <w:pPr>
              <w:jc w:val="both"/>
            </w:pPr>
          </w:p>
        </w:tc>
        <w:tc>
          <w:tcPr>
            <w:tcW w:w="1417" w:type="dxa"/>
          </w:tcPr>
          <w:p w14:paraId="48A237EE" w14:textId="77777777" w:rsidR="001812BF" w:rsidRDefault="001812BF" w:rsidP="001812BF">
            <w:pPr>
              <w:jc w:val="both"/>
            </w:pPr>
          </w:p>
        </w:tc>
        <w:tc>
          <w:tcPr>
            <w:tcW w:w="4721" w:type="dxa"/>
          </w:tcPr>
          <w:p w14:paraId="124890FC" w14:textId="77777777" w:rsidR="001812BF" w:rsidRDefault="001812BF" w:rsidP="001812BF">
            <w:pPr>
              <w:jc w:val="both"/>
            </w:pPr>
          </w:p>
        </w:tc>
        <w:tc>
          <w:tcPr>
            <w:tcW w:w="867" w:type="dxa"/>
          </w:tcPr>
          <w:p w14:paraId="04EEE021" w14:textId="77777777" w:rsidR="001812BF" w:rsidRDefault="001812BF" w:rsidP="001812BF">
            <w:pPr>
              <w:jc w:val="both"/>
            </w:pPr>
          </w:p>
        </w:tc>
        <w:tc>
          <w:tcPr>
            <w:tcW w:w="749" w:type="dxa"/>
          </w:tcPr>
          <w:p w14:paraId="5B18F787" w14:textId="77777777" w:rsidR="001812BF" w:rsidRDefault="001812BF" w:rsidP="001812BF">
            <w:pPr>
              <w:jc w:val="both"/>
            </w:pPr>
          </w:p>
        </w:tc>
      </w:tr>
    </w:tbl>
    <w:p w14:paraId="1D22C2A6" w14:textId="77777777" w:rsidR="001812BF" w:rsidRDefault="001812BF" w:rsidP="001812BF">
      <w:pPr>
        <w:pStyle w:val="PargrafodaLista"/>
        <w:ind w:left="0"/>
        <w:jc w:val="both"/>
      </w:pPr>
    </w:p>
    <w:p w14:paraId="5281D66E" w14:textId="77777777" w:rsidR="007F32B2" w:rsidRPr="007F32B2" w:rsidRDefault="007F32B2" w:rsidP="007F32B2">
      <w:pPr>
        <w:jc w:val="both"/>
        <w:rPr>
          <w:b/>
          <w:bCs/>
        </w:rPr>
      </w:pPr>
    </w:p>
    <w:p w14:paraId="1BF8F5CE" w14:textId="77777777" w:rsidR="007F32B2" w:rsidRDefault="007F32B2" w:rsidP="007F32B2">
      <w:pPr>
        <w:pStyle w:val="PargrafodaLista"/>
        <w:jc w:val="both"/>
        <w:rPr>
          <w:b/>
          <w:bCs/>
        </w:rPr>
      </w:pPr>
    </w:p>
    <w:p w14:paraId="59920935" w14:textId="5A0C111A" w:rsidR="001812BF" w:rsidRPr="002F5927" w:rsidRDefault="001812BF" w:rsidP="001812BF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2F5927">
        <w:rPr>
          <w:b/>
          <w:bCs/>
        </w:rPr>
        <w:t>DO LOCAL DA ENTREGA</w:t>
      </w:r>
    </w:p>
    <w:p w14:paraId="52782B37" w14:textId="77777777" w:rsidR="001812BF" w:rsidRDefault="001812BF" w:rsidP="001812BF">
      <w:pPr>
        <w:pStyle w:val="PargrafodaLista"/>
        <w:ind w:left="0"/>
        <w:jc w:val="both"/>
      </w:pPr>
    </w:p>
    <w:p w14:paraId="671ECB93" w14:textId="77777777" w:rsidR="001812BF" w:rsidRDefault="001812BF" w:rsidP="001812BF">
      <w:pPr>
        <w:pStyle w:val="PargrafodaLista"/>
        <w:ind w:left="0"/>
        <w:jc w:val="both"/>
      </w:pPr>
      <w:r>
        <w:t>O produto deve ser entregue na ETA SAUDADE, ETA RECREIO CAMPESTRE e ETE, localizadas no município, e no horário das 07:00 às 17:00 horas em dias úteis e/ou não úteis. Serão de responsabilidade do fornecedor as despesas com carga e descarga dos materiais no local de entrega.</w:t>
      </w:r>
    </w:p>
    <w:p w14:paraId="2374A424" w14:textId="77777777" w:rsidR="001812BF" w:rsidRDefault="001812BF" w:rsidP="001812BF">
      <w:pPr>
        <w:pStyle w:val="PargrafodaLista"/>
        <w:ind w:left="0"/>
        <w:jc w:val="both"/>
      </w:pPr>
    </w:p>
    <w:p w14:paraId="4CC9B578" w14:textId="77777777" w:rsidR="001812BF" w:rsidRPr="002F5927" w:rsidRDefault="001812BF" w:rsidP="001812BF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2F5927">
        <w:rPr>
          <w:b/>
          <w:bCs/>
        </w:rPr>
        <w:t>DOS PRAZOS DE ENTREGA:</w:t>
      </w:r>
    </w:p>
    <w:p w14:paraId="7143A5DE" w14:textId="77777777" w:rsidR="001812BF" w:rsidRDefault="001812BF" w:rsidP="001812BF">
      <w:pPr>
        <w:pStyle w:val="PargrafodaLista"/>
        <w:ind w:left="0"/>
        <w:jc w:val="both"/>
      </w:pPr>
    </w:p>
    <w:p w14:paraId="4B3F175B" w14:textId="769F42D4" w:rsidR="001812BF" w:rsidRDefault="001812BF" w:rsidP="001812BF">
      <w:pPr>
        <w:pStyle w:val="PargrafodaLista"/>
        <w:ind w:left="0"/>
        <w:jc w:val="both"/>
      </w:pPr>
      <w:r>
        <w:t>Prazo de entrega: 0</w:t>
      </w:r>
      <w:r w:rsidR="00A523E3">
        <w:t>3</w:t>
      </w:r>
      <w:r>
        <w:t xml:space="preserve"> (</w:t>
      </w:r>
      <w:r w:rsidR="00A523E3">
        <w:t>três</w:t>
      </w:r>
      <w:r>
        <w:t xml:space="preserve">) dias sequenciais contados a partir da data de cada solicitação, que será de acordo com a necessidade do DAE. </w:t>
      </w:r>
    </w:p>
    <w:p w14:paraId="7DE582C8" w14:textId="5E696E14" w:rsidR="00480767" w:rsidRDefault="00480767" w:rsidP="001812BF">
      <w:pPr>
        <w:pStyle w:val="PargrafodaLista"/>
        <w:ind w:left="0"/>
        <w:jc w:val="both"/>
      </w:pPr>
      <w:r w:rsidRPr="00480767">
        <w:t xml:space="preserve">Entregue o objeto, esse será recebido e conferido, ficando assegurado </w:t>
      </w:r>
      <w:r w:rsidR="007F32B2">
        <w:t>o</w:t>
      </w:r>
      <w:r w:rsidRPr="00480767">
        <w:t xml:space="preserve"> </w:t>
      </w:r>
      <w:r w:rsidR="007F32B2">
        <w:t>DAE</w:t>
      </w:r>
      <w:r w:rsidRPr="00480767">
        <w:t xml:space="preserve"> o direito de rejeitar, no todo ou em parte, o objeto entregue em desacordo com as especificações </w:t>
      </w:r>
      <w:r w:rsidRPr="00480767">
        <w:lastRenderedPageBreak/>
        <w:t>exigidas no Edital e seus anexos, restando a empresa licitante vencedora a obrigação de substituir e/ou reparar o item irregular no prazo de 0</w:t>
      </w:r>
      <w:r w:rsidR="007F32B2">
        <w:t>3</w:t>
      </w:r>
      <w:r w:rsidRPr="00480767">
        <w:t xml:space="preserve"> (</w:t>
      </w:r>
      <w:r w:rsidR="007F32B2">
        <w:t>três</w:t>
      </w:r>
      <w:r w:rsidRPr="00480767">
        <w:t>) dias</w:t>
      </w:r>
      <w:r w:rsidR="007F32B2">
        <w:t>.</w:t>
      </w:r>
    </w:p>
    <w:p w14:paraId="4E6FD281" w14:textId="0B8F9C3F" w:rsidR="001812BF" w:rsidRDefault="001812BF" w:rsidP="001812BF">
      <w:pPr>
        <w:pStyle w:val="PargrafodaLista"/>
        <w:ind w:left="0"/>
        <w:jc w:val="both"/>
      </w:pPr>
      <w:r>
        <w:t xml:space="preserve">Não serão aceitas como justificativas de irregularidades no fornecimento, a paralisação da unidade fabril ou a queda de equipamentos, a necessidade de manutenções na indústria, a falta de matéria-prima, problemas com o </w:t>
      </w:r>
      <w:proofErr w:type="gramStart"/>
      <w:r>
        <w:t>transporte, etc.</w:t>
      </w:r>
      <w:proofErr w:type="gramEnd"/>
      <w:r>
        <w:t xml:space="preserve"> Para o saneamento dessas situações o fornecedor deverá providenciar a aquisição do produto em outras regiões e/ou outros fornecedores, garantindo e comprovando sua qualidade em consonância com as especificações estabelecidas, entregando o produto ao mesmo preço daquele ofertado para esta licitação.</w:t>
      </w:r>
    </w:p>
    <w:p w14:paraId="32EB6D8A" w14:textId="77777777" w:rsidR="001812BF" w:rsidRDefault="001812BF" w:rsidP="001812BF">
      <w:pPr>
        <w:pStyle w:val="PargrafodaLista"/>
        <w:ind w:left="0"/>
        <w:jc w:val="both"/>
      </w:pPr>
    </w:p>
    <w:p w14:paraId="0CD61656" w14:textId="77777777" w:rsidR="001812BF" w:rsidRPr="002F5927" w:rsidRDefault="001812BF" w:rsidP="001812BF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2F5927">
        <w:rPr>
          <w:b/>
          <w:bCs/>
        </w:rPr>
        <w:t>DO TRANSPORTE:</w:t>
      </w:r>
    </w:p>
    <w:p w14:paraId="0C23947F" w14:textId="77777777" w:rsidR="001812BF" w:rsidRDefault="001812BF" w:rsidP="001812BF">
      <w:pPr>
        <w:pStyle w:val="PargrafodaLista"/>
        <w:ind w:left="0"/>
        <w:jc w:val="both"/>
      </w:pPr>
    </w:p>
    <w:p w14:paraId="4C0488E7" w14:textId="77777777" w:rsidR="001812BF" w:rsidRDefault="001812BF" w:rsidP="001812BF">
      <w:pPr>
        <w:pStyle w:val="PargrafodaLista"/>
        <w:ind w:left="0"/>
        <w:jc w:val="both"/>
      </w:pPr>
      <w:r>
        <w:t xml:space="preserve">O transporte do produto é de responsabilidade da CONTRATADA e o veículo deverá estar devidamente identificado conforme normas ABNT/Ministérios dos Transportes, para transporte de produtos e ainda, deverá estar em boas condições de conservação e rodagem, de acordo com a legislação de trânsito pertinente. </w:t>
      </w:r>
    </w:p>
    <w:p w14:paraId="6504EBAB" w14:textId="77777777" w:rsidR="001812BF" w:rsidRDefault="001812BF" w:rsidP="001812BF">
      <w:pPr>
        <w:pStyle w:val="PargrafodaLista"/>
        <w:ind w:left="0"/>
        <w:jc w:val="both"/>
      </w:pPr>
    </w:p>
    <w:p w14:paraId="08D1F297" w14:textId="77777777" w:rsidR="001812BF" w:rsidRPr="002F5927" w:rsidRDefault="001812BF" w:rsidP="001812BF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2F5927">
        <w:rPr>
          <w:b/>
          <w:bCs/>
        </w:rPr>
        <w:t>ACEITAÇÃO E REJEIÇÃO:</w:t>
      </w:r>
    </w:p>
    <w:p w14:paraId="79543ACE" w14:textId="77777777" w:rsidR="001812BF" w:rsidRDefault="001812BF" w:rsidP="001812BF">
      <w:pPr>
        <w:pStyle w:val="PargrafodaLista"/>
        <w:ind w:left="0"/>
        <w:jc w:val="both"/>
      </w:pPr>
    </w:p>
    <w:p w14:paraId="2F60FAA1" w14:textId="56D3BE8B" w:rsidR="001812BF" w:rsidRDefault="001812BF" w:rsidP="001812BF">
      <w:pPr>
        <w:pStyle w:val="PargrafodaLista"/>
        <w:ind w:left="0"/>
        <w:jc w:val="both"/>
      </w:pPr>
      <w:r>
        <w:t>O produto a ser fornecido ser</w:t>
      </w:r>
      <w:r w:rsidR="00480767">
        <w:t>á</w:t>
      </w:r>
      <w:r>
        <w:t xml:space="preserve"> inspecionado e analisado, a qualquer tempo, pela CONTRATANTE, durante ou após a sua fabricação. O fornecedor estará sujeito a sanções administrativas previstas, caso sejam constatadas condições com os resultados apresentador no momento da contratação. Neste caso também poderão ser exigidos do fornecedor, às suas expensas, novas análises e novo Relatório de Estudos do Produto. </w:t>
      </w:r>
    </w:p>
    <w:p w14:paraId="1441BA55" w14:textId="38960E92" w:rsidR="00A523E3" w:rsidRDefault="00A523E3" w:rsidP="001812BF">
      <w:pPr>
        <w:pStyle w:val="PargrafodaLista"/>
        <w:ind w:left="0"/>
        <w:jc w:val="both"/>
      </w:pPr>
    </w:p>
    <w:p w14:paraId="6FB9B9A6" w14:textId="6256924E" w:rsidR="00A523E3" w:rsidRPr="00A523E3" w:rsidRDefault="00A523E3" w:rsidP="00A523E3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 w:rsidRPr="00A523E3">
        <w:rPr>
          <w:b/>
          <w:bCs/>
          <w:sz w:val="22"/>
        </w:rPr>
        <w:t>DO FORNECIMENTO DO RESERVATÓRIO PARA</w:t>
      </w:r>
      <w:r>
        <w:rPr>
          <w:b/>
          <w:bCs/>
        </w:rPr>
        <w:t xml:space="preserve"> ARMAZENAMENTO</w:t>
      </w:r>
    </w:p>
    <w:p w14:paraId="367BCDD4" w14:textId="77777777" w:rsidR="001812BF" w:rsidRDefault="001812BF" w:rsidP="001812BF">
      <w:pPr>
        <w:pStyle w:val="PargrafodaLista"/>
        <w:jc w:val="both"/>
      </w:pPr>
    </w:p>
    <w:p w14:paraId="15AD5DB1" w14:textId="4B103B0C" w:rsidR="00345AEB" w:rsidRDefault="00A523E3" w:rsidP="001812BF">
      <w:pPr>
        <w:spacing w:after="0"/>
        <w:jc w:val="both"/>
      </w:pPr>
      <w:r>
        <w:t>A empresa vencedora do produto – Sulfato de Alumínio Isento de Ferro Líquido, Item 4 do Termo de Referência, deverá fornecer um Reservatório para armazenamento em comodato ou empréstimo, com capacidade de 20 mil litros, da data da assinatura do contrato até o final do contrato. Ao final do contrato, a empresa deverá retirar o reservatório do local onde foi solicitado sua colocação. Assim como, da mesma forma, a empresa vencedora do produto – Hipoclorito de Sódio, Item 3 do Termo de referência, deverá fornecer um Reservatório para armazenamento em comodato ou empréstimo, com capacidade de 10 mil litros, da data da assinatura do contrato até o final do contrato. Ao final do contrato, a empresa deverá retirar o reservatório do local onde foi solicitado sua colocação.</w:t>
      </w:r>
    </w:p>
    <w:sectPr w:rsidR="00345AEB" w:rsidSect="003F2C08">
      <w:headerReference w:type="even" r:id="rId8"/>
      <w:headerReference w:type="default" r:id="rId9"/>
      <w:headerReference w:type="first" r:id="rId10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FBF7A" w14:textId="77777777" w:rsidR="00444A01" w:rsidRDefault="00444A01" w:rsidP="004106BA">
      <w:pPr>
        <w:spacing w:after="0" w:line="240" w:lineRule="auto"/>
      </w:pPr>
      <w:r>
        <w:separator/>
      </w:r>
    </w:p>
  </w:endnote>
  <w:endnote w:type="continuationSeparator" w:id="0">
    <w:p w14:paraId="332169A7" w14:textId="77777777" w:rsidR="00444A01" w:rsidRDefault="00444A01" w:rsidP="0041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F7064" w14:textId="77777777" w:rsidR="00444A01" w:rsidRDefault="00444A01" w:rsidP="004106BA">
      <w:pPr>
        <w:spacing w:after="0" w:line="240" w:lineRule="auto"/>
      </w:pPr>
      <w:r>
        <w:separator/>
      </w:r>
    </w:p>
  </w:footnote>
  <w:footnote w:type="continuationSeparator" w:id="0">
    <w:p w14:paraId="51E42A5D" w14:textId="77777777" w:rsidR="00444A01" w:rsidRDefault="00444A01" w:rsidP="0041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FF3C1" w14:textId="6EB8F361" w:rsidR="00BC706D" w:rsidRDefault="000572CC">
    <w:pPr>
      <w:pStyle w:val="Cabealho"/>
    </w:pPr>
    <w:r>
      <w:rPr>
        <w:noProof/>
      </w:rPr>
      <w:pict w14:anchorId="485DB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03547" o:spid="_x0000_s2050" type="#_x0000_t75" style="position:absolute;margin-left:0;margin-top:0;width:425.05pt;height:425.05pt;z-index:-251654144;mso-position-horizontal:center;mso-position-horizontal-relative:margin;mso-position-vertical:center;mso-position-vertical-relative:margin" o:allowincell="f">
          <v:imagedata r:id="rId1" o:title="logo_d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3C5CA" w14:textId="4F4970DF" w:rsidR="004106BA" w:rsidRDefault="000572CC" w:rsidP="004106BA">
    <w:pPr>
      <w:pStyle w:val="Cabealho"/>
    </w:pPr>
    <w:r>
      <w:rPr>
        <w:noProof/>
      </w:rPr>
      <w:pict w14:anchorId="4F7BE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03548" o:spid="_x0000_s2051" type="#_x0000_t75" style="position:absolute;margin-left:0;margin-top:0;width:425.05pt;height:425.05pt;z-index:-251653120;mso-position-horizontal:center;mso-position-horizontal-relative:margin;mso-position-vertical:center;mso-position-vertical-relative:margin" o:allowincell="f">
          <v:imagedata r:id="rId1" o:title="logo_dae" gain="19661f" blacklevel="22938f"/>
          <w10:wrap anchorx="margin" anchory="margin"/>
        </v:shape>
      </w:pict>
    </w:r>
  </w:p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106BA" w:rsidRPr="00ED7602" w14:paraId="24BD3615" w14:textId="77777777" w:rsidTr="00345AEB">
      <w:trPr>
        <w:trHeight w:val="1279"/>
        <w:jc w:val="center"/>
      </w:trPr>
      <w:tc>
        <w:tcPr>
          <w:tcW w:w="2093" w:type="dxa"/>
          <w:shd w:val="clear" w:color="auto" w:fill="auto"/>
        </w:tcPr>
        <w:p w14:paraId="06379E9E" w14:textId="4BFC2527" w:rsidR="004106BA" w:rsidRPr="00FA7B02" w:rsidRDefault="00345AEB" w:rsidP="003F2C08">
          <w:pPr>
            <w:pStyle w:val="Cabealho"/>
            <w:tabs>
              <w:tab w:val="left" w:pos="1368"/>
            </w:tabs>
            <w:ind w:left="321"/>
            <w:rPr>
              <w:rFonts w:ascii="Arial" w:hAnsi="Arial" w:cs="Arial"/>
              <w:b/>
              <w:sz w:val="32"/>
              <w:szCs w:val="32"/>
              <w:u w:val="single"/>
            </w:rPr>
          </w:pPr>
          <w:r>
            <w:object w:dxaOrig="4306" w:dyaOrig="4306" w14:anchorId="17582CB9">
              <v:shape id="_x0000_i1025" type="#_x0000_t75" style="width:75.75pt;height:75.75pt">
                <v:imagedata r:id="rId2" o:title=""/>
              </v:shape>
              <o:OLEObject Type="Embed" ProgID="PBrush" ShapeID="_x0000_i1025" DrawAspect="Content" ObjectID="_1675509025" r:id="rId3"/>
            </w:object>
          </w:r>
        </w:p>
      </w:tc>
      <w:tc>
        <w:tcPr>
          <w:tcW w:w="6816" w:type="dxa"/>
          <w:shd w:val="clear" w:color="auto" w:fill="auto"/>
        </w:tcPr>
        <w:p w14:paraId="3DB7636A" w14:textId="77777777" w:rsidR="003F2C08" w:rsidRDefault="003F2C08" w:rsidP="004106BA">
          <w:pPr>
            <w:pStyle w:val="Cabealho"/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14:paraId="1ECCCAC6" w14:textId="2D555555" w:rsidR="004106BA" w:rsidRPr="00ED7602" w:rsidRDefault="004106BA" w:rsidP="004106BA">
          <w:pPr>
            <w:pStyle w:val="Cabealho"/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>Prefeitura Municipal de Santo Antonio de Posse</w:t>
          </w:r>
        </w:p>
        <w:p w14:paraId="318BCA53" w14:textId="5AA0F31C" w:rsidR="004106BA" w:rsidRDefault="004106BA" w:rsidP="004106BA">
          <w:pPr>
            <w:pStyle w:val="Cabealho"/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Chafia Chaib Baracat, 351 – Tel. (19) 3896-9000 </w:t>
          </w:r>
        </w:p>
        <w:p w14:paraId="5ADD9510" w14:textId="77777777" w:rsidR="004106BA" w:rsidRPr="00ED7602" w:rsidRDefault="004106BA" w:rsidP="004106BA">
          <w:pPr>
            <w:pStyle w:val="Cabealho"/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CNPJ: 45331196/0001-35</w:t>
          </w:r>
        </w:p>
        <w:p w14:paraId="4E328AC3" w14:textId="77777777" w:rsidR="004106BA" w:rsidRPr="00ED7602" w:rsidRDefault="004106BA" w:rsidP="004106BA">
          <w:pPr>
            <w:pStyle w:val="Cabealho"/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Santo Antonio de Posse – SP</w:t>
          </w:r>
        </w:p>
        <w:p w14:paraId="04022985" w14:textId="77777777" w:rsidR="004106BA" w:rsidRPr="00ED7602" w:rsidRDefault="004106BA" w:rsidP="004106BA">
          <w:pPr>
            <w:pStyle w:val="Cabealho"/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14:paraId="61FF9327" w14:textId="359C4E97" w:rsidR="004106BA" w:rsidRPr="00ED7602" w:rsidRDefault="004106BA" w:rsidP="004106BA">
          <w:pPr>
            <w:pStyle w:val="Cabealho"/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</w:tr>
  </w:tbl>
  <w:p w14:paraId="6065327A" w14:textId="77777777" w:rsidR="0049032D" w:rsidRDefault="0049032D" w:rsidP="004106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9AAC" w14:textId="551A5A07" w:rsidR="00BC706D" w:rsidRDefault="000572CC">
    <w:pPr>
      <w:pStyle w:val="Cabealho"/>
    </w:pPr>
    <w:r>
      <w:rPr>
        <w:noProof/>
      </w:rPr>
      <w:pict w14:anchorId="6EFCA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03546" o:spid="_x0000_s2049" type="#_x0000_t75" style="position:absolute;margin-left:0;margin-top:0;width:425.05pt;height:425.05pt;z-index:-251655168;mso-position-horizontal:center;mso-position-horizontal-relative:margin;mso-position-vertical:center;mso-position-vertical-relative:margin" o:allowincell="f">
          <v:imagedata r:id="rId1" o:title="logo_d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F6A7E"/>
    <w:multiLevelType w:val="hybridMultilevel"/>
    <w:tmpl w:val="1DD26B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058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37390E"/>
    <w:multiLevelType w:val="hybridMultilevel"/>
    <w:tmpl w:val="EB4EBC2C"/>
    <w:lvl w:ilvl="0" w:tplc="EC54D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BA"/>
    <w:rsid w:val="000572CC"/>
    <w:rsid w:val="00080CEC"/>
    <w:rsid w:val="000B4B48"/>
    <w:rsid w:val="00111B49"/>
    <w:rsid w:val="001165A9"/>
    <w:rsid w:val="00154BD1"/>
    <w:rsid w:val="001812BF"/>
    <w:rsid w:val="001D2C8E"/>
    <w:rsid w:val="001F7C91"/>
    <w:rsid w:val="003040C5"/>
    <w:rsid w:val="00345AEB"/>
    <w:rsid w:val="003F2C08"/>
    <w:rsid w:val="004106BA"/>
    <w:rsid w:val="00444A01"/>
    <w:rsid w:val="00446D7F"/>
    <w:rsid w:val="00463817"/>
    <w:rsid w:val="00477EBF"/>
    <w:rsid w:val="00480767"/>
    <w:rsid w:val="0049032D"/>
    <w:rsid w:val="00542B93"/>
    <w:rsid w:val="005611FA"/>
    <w:rsid w:val="006335C4"/>
    <w:rsid w:val="0064337D"/>
    <w:rsid w:val="007E12C7"/>
    <w:rsid w:val="007F32B2"/>
    <w:rsid w:val="00820F38"/>
    <w:rsid w:val="008276A6"/>
    <w:rsid w:val="009179AB"/>
    <w:rsid w:val="009260BB"/>
    <w:rsid w:val="00935797"/>
    <w:rsid w:val="009C6A62"/>
    <w:rsid w:val="009E1611"/>
    <w:rsid w:val="00A523E3"/>
    <w:rsid w:val="00A6301C"/>
    <w:rsid w:val="00AD2183"/>
    <w:rsid w:val="00BA29F6"/>
    <w:rsid w:val="00BA3E17"/>
    <w:rsid w:val="00BB258F"/>
    <w:rsid w:val="00BC706D"/>
    <w:rsid w:val="00C12B14"/>
    <w:rsid w:val="00C509C4"/>
    <w:rsid w:val="00D9507E"/>
    <w:rsid w:val="00D962B6"/>
    <w:rsid w:val="00DE537E"/>
    <w:rsid w:val="00F54193"/>
    <w:rsid w:val="00F72A3E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04DAB51"/>
  <w15:chartTrackingRefBased/>
  <w15:docId w15:val="{02C47D2A-CA7F-47C2-938B-AC81FFAC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BA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B2FFB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0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6BA"/>
  </w:style>
  <w:style w:type="paragraph" w:styleId="Rodap">
    <w:name w:val="footer"/>
    <w:basedOn w:val="Normal"/>
    <w:link w:val="RodapChar"/>
    <w:uiPriority w:val="99"/>
    <w:unhideWhenUsed/>
    <w:rsid w:val="00410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6BA"/>
  </w:style>
  <w:style w:type="character" w:styleId="Hyperlink">
    <w:name w:val="Hyperlink"/>
    <w:uiPriority w:val="99"/>
    <w:rsid w:val="004106BA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4106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6A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6A62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6A62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9C6A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comgrade">
    <w:name w:val="Table Grid"/>
    <w:basedOn w:val="Tabelanormal"/>
    <w:uiPriority w:val="39"/>
    <w:rsid w:val="00FB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B2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61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9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D779-CBE8-4C88-8264-09292031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4790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Mergulhão</dc:creator>
  <cp:keywords/>
  <dc:description/>
  <cp:lastModifiedBy>Joseani Donizete Bassani Torres</cp:lastModifiedBy>
  <cp:revision>2</cp:revision>
  <cp:lastPrinted>2021-02-19T16:59:00Z</cp:lastPrinted>
  <dcterms:created xsi:type="dcterms:W3CDTF">2021-02-22T17:24:00Z</dcterms:created>
  <dcterms:modified xsi:type="dcterms:W3CDTF">2021-02-22T17:24:00Z</dcterms:modified>
</cp:coreProperties>
</file>